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4E53A0">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436880</wp:posOffset>
                </wp:positionV>
                <wp:extent cx="6542405" cy="6667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E0" w:rsidRPr="0038528A" w:rsidRDefault="004E53A0" w:rsidP="00A0563B">
                            <w:pPr>
                              <w:pStyle w:val="Title"/>
                              <w:rPr>
                                <w:rFonts w:ascii="Arial" w:hAnsi="Arial" w:cs="Arial"/>
                              </w:rPr>
                            </w:pPr>
                            <w:r w:rsidRPr="0038528A">
                              <w:rPr>
                                <w:rFonts w:ascii="Arial" w:hAnsi="Arial" w:cs="Arial"/>
                              </w:rPr>
                              <w:t>Adult Social Care Policies and Procedures</w:t>
                            </w:r>
                          </w:p>
                          <w:p w:rsidR="00B050E0" w:rsidRDefault="004E53A0" w:rsidP="00A07590">
                            <w:pPr>
                              <w:pStyle w:val="Title2"/>
                            </w:pPr>
                            <w:bookmarkStart w:id="0" w:name="_Toc307236626"/>
                          </w:p>
                          <w:p w:rsidR="00B050E0" w:rsidRDefault="004E53A0" w:rsidP="00A07590">
                            <w:pPr>
                              <w:pStyle w:val="Title2"/>
                            </w:pPr>
                          </w:p>
                          <w:p w:rsidR="00B050E0" w:rsidRDefault="004E53A0" w:rsidP="00A07590">
                            <w:pPr>
                              <w:pStyle w:val="Title2"/>
                            </w:pPr>
                            <w:r>
                              <w:t xml:space="preserve">          </w:t>
                            </w:r>
                          </w:p>
                          <w:p w:rsidR="006F2C61" w:rsidRDefault="004E53A0" w:rsidP="00A07590">
                            <w:pPr>
                              <w:pStyle w:val="Title2"/>
                            </w:pPr>
                          </w:p>
                          <w:p w:rsidR="006F2C61" w:rsidRDefault="004E53A0" w:rsidP="00A07590">
                            <w:pPr>
                              <w:pStyle w:val="Title2"/>
                            </w:pPr>
                          </w:p>
                          <w:p w:rsidR="00B050E0" w:rsidRDefault="004E53A0" w:rsidP="00A07590">
                            <w:pPr>
                              <w:pStyle w:val="Title2"/>
                            </w:pPr>
                          </w:p>
                          <w:p w:rsidR="00B050E0" w:rsidRDefault="004E53A0" w:rsidP="00A07590">
                            <w:pPr>
                              <w:pStyle w:val="Title2"/>
                            </w:pPr>
                          </w:p>
                          <w:bookmarkEnd w:id="0"/>
                          <w:p w:rsidR="00B050E0" w:rsidRPr="0003334A" w:rsidRDefault="004E53A0" w:rsidP="0003334A">
                            <w:pPr>
                              <w:pStyle w:val="Heading1"/>
                              <w:rPr>
                                <w:sz w:val="48"/>
                                <w:szCs w:val="48"/>
                              </w:rPr>
                            </w:pPr>
                            <w:r>
                              <w:rPr>
                                <w:sz w:val="48"/>
                                <w:szCs w:val="48"/>
                              </w:rPr>
                              <w:t>DISCHARGE OF HOSPITAL PATIENTS WITH CARE AND SUPPORT NEEDS</w:t>
                            </w:r>
                            <w:r>
                              <w:rPr>
                                <w:sz w:val="48"/>
                                <w:szCs w:val="48"/>
                              </w:rPr>
                              <w:t xml:space="preserve"> </w:t>
                            </w:r>
                            <w:r w:rsidRPr="006F15DA">
                              <w:rPr>
                                <w:sz w:val="36"/>
                                <w:szCs w:val="36"/>
                              </w:rPr>
                              <w:t>(</w:t>
                            </w:r>
                            <w:r>
                              <w:t xml:space="preserve">excluding those patients being </w:t>
                            </w:r>
                            <w:r>
                              <w:t>discharged from mental health Hospitals</w:t>
                            </w:r>
                            <w:r w:rsidRPr="006F15DA">
                              <w:rPr>
                                <w:sz w:val="36"/>
                                <w:szCs w:val="36"/>
                              </w:rPr>
                              <w:t>)</w:t>
                            </w:r>
                          </w:p>
                          <w:p w:rsidR="00B050E0" w:rsidRDefault="004E53A0" w:rsidP="0003334A">
                            <w:pPr>
                              <w:rPr>
                                <w:lang w:eastAsia="en-GB"/>
                              </w:rPr>
                            </w:pPr>
                          </w:p>
                          <w:tbl>
                            <w:tblPr>
                              <w:tblStyle w:val="TableGrid"/>
                              <w:tblW w:w="0" w:type="auto"/>
                              <w:tblLook w:val="04A0" w:firstRow="1" w:lastRow="0" w:firstColumn="1" w:lastColumn="0" w:noHBand="0" w:noVBand="1"/>
                            </w:tblPr>
                            <w:tblGrid>
                              <w:gridCol w:w="10005"/>
                            </w:tblGrid>
                            <w:tr w:rsidR="0020536E" w:rsidTr="0003334A">
                              <w:tc>
                                <w:tcPr>
                                  <w:tcW w:w="10005" w:type="dxa"/>
                                </w:tcPr>
                                <w:p w:rsidR="00B050E0" w:rsidRDefault="004E53A0" w:rsidP="00704283">
                                  <w:pPr>
                                    <w:rPr>
                                      <w:b/>
                                      <w:color w:val="auto"/>
                                      <w:shd w:val="clear" w:color="auto" w:fill="FF0000"/>
                                    </w:rPr>
                                  </w:pPr>
                                </w:p>
                                <w:p w:rsidR="00B050E0" w:rsidRDefault="004E53A0"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050E0" w:rsidRDefault="004E53A0" w:rsidP="00704283">
                                  <w:pPr>
                                    <w:rPr>
                                      <w:b/>
                                    </w:rPr>
                                  </w:pPr>
                                </w:p>
                              </w:tc>
                            </w:tr>
                          </w:tbl>
                          <w:p w:rsidR="00B050E0" w:rsidRDefault="004E53A0" w:rsidP="00704283">
                            <w:pPr>
                              <w:rPr>
                                <w:b/>
                              </w:rPr>
                            </w:pPr>
                          </w:p>
                          <w:p w:rsidR="00B050E0" w:rsidRDefault="004E53A0" w:rsidP="00F5519A"/>
                          <w:p w:rsidR="00B050E0" w:rsidRDefault="004E53A0" w:rsidP="00F5519A"/>
                          <w:p w:rsidR="00B050E0" w:rsidRDefault="004E53A0" w:rsidP="00F5519A"/>
                          <w:p w:rsidR="00B050E0" w:rsidRDefault="004E53A0" w:rsidP="00F5519A"/>
                          <w:p w:rsidR="00B050E0" w:rsidRDefault="004E53A0"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4pt;width:515.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" filled="f" stroked="f">
                <v:textbox>
                  <w:txbxContent>
                    <w:p w:rsidR="00B050E0" w:rsidRPr="0038528A" w:rsidRDefault="004E53A0" w:rsidP="00A0563B">
                      <w:pPr>
                        <w:pStyle w:val="Title"/>
                        <w:rPr>
                          <w:rFonts w:ascii="Arial" w:hAnsi="Arial" w:cs="Arial"/>
                        </w:rPr>
                      </w:pPr>
                      <w:r w:rsidRPr="0038528A">
                        <w:rPr>
                          <w:rFonts w:ascii="Arial" w:hAnsi="Arial" w:cs="Arial"/>
                        </w:rPr>
                        <w:t>Adult Social Care Policies and Procedures</w:t>
                      </w:r>
                    </w:p>
                    <w:p w:rsidR="00B050E0" w:rsidRDefault="004E53A0" w:rsidP="00A07590">
                      <w:pPr>
                        <w:pStyle w:val="Title2"/>
                      </w:pPr>
                      <w:bookmarkStart w:id="1" w:name="_Toc307236626"/>
                    </w:p>
                    <w:p w:rsidR="00B050E0" w:rsidRDefault="004E53A0" w:rsidP="00A07590">
                      <w:pPr>
                        <w:pStyle w:val="Title2"/>
                      </w:pPr>
                    </w:p>
                    <w:p w:rsidR="00B050E0" w:rsidRDefault="004E53A0" w:rsidP="00A07590">
                      <w:pPr>
                        <w:pStyle w:val="Title2"/>
                      </w:pPr>
                      <w:r>
                        <w:t xml:space="preserve">          </w:t>
                      </w:r>
                    </w:p>
                    <w:p w:rsidR="006F2C61" w:rsidRDefault="004E53A0" w:rsidP="00A07590">
                      <w:pPr>
                        <w:pStyle w:val="Title2"/>
                      </w:pPr>
                    </w:p>
                    <w:p w:rsidR="006F2C61" w:rsidRDefault="004E53A0" w:rsidP="00A07590">
                      <w:pPr>
                        <w:pStyle w:val="Title2"/>
                      </w:pPr>
                    </w:p>
                    <w:p w:rsidR="00B050E0" w:rsidRDefault="004E53A0" w:rsidP="00A07590">
                      <w:pPr>
                        <w:pStyle w:val="Title2"/>
                      </w:pPr>
                    </w:p>
                    <w:p w:rsidR="00B050E0" w:rsidRDefault="004E53A0" w:rsidP="00A07590">
                      <w:pPr>
                        <w:pStyle w:val="Title2"/>
                      </w:pPr>
                    </w:p>
                    <w:bookmarkEnd w:id="1"/>
                    <w:p w:rsidR="00B050E0" w:rsidRPr="0003334A" w:rsidRDefault="004E53A0" w:rsidP="0003334A">
                      <w:pPr>
                        <w:pStyle w:val="Heading1"/>
                        <w:rPr>
                          <w:sz w:val="48"/>
                          <w:szCs w:val="48"/>
                        </w:rPr>
                      </w:pPr>
                      <w:r>
                        <w:rPr>
                          <w:sz w:val="48"/>
                          <w:szCs w:val="48"/>
                        </w:rPr>
                        <w:t>DISCHARGE OF HOSPITAL PATIENTS WITH CARE AND SUPPORT NEEDS</w:t>
                      </w:r>
                      <w:r>
                        <w:rPr>
                          <w:sz w:val="48"/>
                          <w:szCs w:val="48"/>
                        </w:rPr>
                        <w:t xml:space="preserve"> </w:t>
                      </w:r>
                      <w:r w:rsidRPr="006F15DA">
                        <w:rPr>
                          <w:sz w:val="36"/>
                          <w:szCs w:val="36"/>
                        </w:rPr>
                        <w:t>(</w:t>
                      </w:r>
                      <w:r>
                        <w:t xml:space="preserve">excluding those patients being </w:t>
                      </w:r>
                      <w:r>
                        <w:t>discharged from mental health Hospitals</w:t>
                      </w:r>
                      <w:r w:rsidRPr="006F15DA">
                        <w:rPr>
                          <w:sz w:val="36"/>
                          <w:szCs w:val="36"/>
                        </w:rPr>
                        <w:t>)</w:t>
                      </w:r>
                    </w:p>
                    <w:p w:rsidR="00B050E0" w:rsidRDefault="004E53A0" w:rsidP="0003334A">
                      <w:pPr>
                        <w:rPr>
                          <w:lang w:eastAsia="en-GB"/>
                        </w:rPr>
                      </w:pPr>
                    </w:p>
                    <w:tbl>
                      <w:tblPr>
                        <w:tblStyle w:val="TableGrid"/>
                        <w:tblW w:w="0" w:type="auto"/>
                        <w:tblLook w:val="04A0" w:firstRow="1" w:lastRow="0" w:firstColumn="1" w:lastColumn="0" w:noHBand="0" w:noVBand="1"/>
                      </w:tblPr>
                      <w:tblGrid>
                        <w:gridCol w:w="10005"/>
                      </w:tblGrid>
                      <w:tr w:rsidR="0020536E" w:rsidTr="0003334A">
                        <w:tc>
                          <w:tcPr>
                            <w:tcW w:w="10005" w:type="dxa"/>
                          </w:tcPr>
                          <w:p w:rsidR="00B050E0" w:rsidRDefault="004E53A0" w:rsidP="00704283">
                            <w:pPr>
                              <w:rPr>
                                <w:b/>
                                <w:color w:val="auto"/>
                                <w:shd w:val="clear" w:color="auto" w:fill="FF0000"/>
                              </w:rPr>
                            </w:pPr>
                          </w:p>
                          <w:p w:rsidR="00B050E0" w:rsidRDefault="004E53A0"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050E0" w:rsidRDefault="004E53A0" w:rsidP="00704283">
                            <w:pPr>
                              <w:rPr>
                                <w:b/>
                              </w:rPr>
                            </w:pPr>
                          </w:p>
                        </w:tc>
                      </w:tr>
                    </w:tbl>
                    <w:p w:rsidR="00B050E0" w:rsidRDefault="004E53A0" w:rsidP="00704283">
                      <w:pPr>
                        <w:rPr>
                          <w:b/>
                        </w:rPr>
                      </w:pPr>
                    </w:p>
                    <w:p w:rsidR="00B050E0" w:rsidRDefault="004E53A0" w:rsidP="00F5519A"/>
                    <w:p w:rsidR="00B050E0" w:rsidRDefault="004E53A0" w:rsidP="00F5519A"/>
                    <w:p w:rsidR="00B050E0" w:rsidRDefault="004E53A0" w:rsidP="00F5519A"/>
                    <w:p w:rsidR="00B050E0" w:rsidRDefault="004E53A0" w:rsidP="00F5519A"/>
                    <w:p w:rsidR="00B050E0" w:rsidRDefault="004E53A0" w:rsidP="00F5519A"/>
                  </w:txbxContent>
                </v:textbox>
              </v:shape>
            </w:pict>
          </mc:Fallback>
        </mc:AlternateContent>
      </w:r>
    </w:p>
    <w:p w:rsidR="006D7BB1" w:rsidRDefault="004E53A0" w:rsidP="00DB368D">
      <w:pPr>
        <w:rPr>
          <w:b/>
          <w:sz w:val="36"/>
          <w:szCs w:val="36"/>
        </w:rPr>
      </w:pPr>
      <w:bookmarkStart w:id="2" w:name="_Toc304199307"/>
      <w:r w:rsidRPr="00B234A5">
        <w:rPr>
          <w:b/>
          <w:sz w:val="36"/>
          <w:szCs w:val="36"/>
        </w:rPr>
        <w:lastRenderedPageBreak/>
        <w:t>CONTENTS</w:t>
      </w:r>
    </w:p>
    <w:p w:rsidR="005F7E10" w:rsidRDefault="004E53A0" w:rsidP="00DB368D">
      <w:pPr>
        <w:rPr>
          <w:b/>
          <w:sz w:val="36"/>
          <w:szCs w:val="36"/>
        </w:rPr>
      </w:pPr>
    </w:p>
    <w:p w:rsidR="00B234A5" w:rsidRDefault="004E53A0" w:rsidP="00DB368D"/>
    <w:p w:rsidR="00B234A5" w:rsidRPr="00B234A5" w:rsidRDefault="004E53A0" w:rsidP="00DB368D">
      <w:pPr>
        <w:rPr>
          <w:b/>
          <w:sz w:val="28"/>
          <w:szCs w:val="28"/>
        </w:rPr>
      </w:pPr>
      <w:r w:rsidRPr="00B234A5">
        <w:rPr>
          <w:b/>
          <w:sz w:val="28"/>
          <w:szCs w:val="28"/>
        </w:rPr>
        <w:t xml:space="preserve">POLICY VERSION </w:t>
      </w:r>
      <w:r w:rsidRPr="00B234A5">
        <w:rPr>
          <w:b/>
          <w:sz w:val="28"/>
          <w:szCs w:val="28"/>
        </w:rPr>
        <w:t>CONTROL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B234A5" w:rsidRDefault="004E53A0" w:rsidP="00DB368D"/>
    <w:p w:rsidR="00B234A5" w:rsidRPr="00B234A5" w:rsidRDefault="004E53A0" w:rsidP="00F43E25">
      <w:pPr>
        <w:pStyle w:val="ListParagraph"/>
        <w:numPr>
          <w:ilvl w:val="0"/>
          <w:numId w:val="5"/>
        </w:numPr>
        <w:rPr>
          <w:b/>
          <w:sz w:val="28"/>
          <w:szCs w:val="28"/>
        </w:rPr>
      </w:pPr>
      <w:r w:rsidRPr="00B234A5">
        <w:rPr>
          <w:b/>
          <w:sz w:val="28"/>
          <w:szCs w:val="28"/>
        </w:rPr>
        <w:t>POLICY STATEMENT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234A5" w:rsidRDefault="004E53A0" w:rsidP="00B234A5"/>
    <w:p w:rsidR="00B234A5" w:rsidRPr="000B1C19" w:rsidRDefault="004E53A0" w:rsidP="00F43E25">
      <w:pPr>
        <w:pStyle w:val="ListParagraph"/>
        <w:numPr>
          <w:ilvl w:val="0"/>
          <w:numId w:val="5"/>
        </w:numPr>
        <w:rPr>
          <w:b/>
          <w:sz w:val="28"/>
          <w:szCs w:val="28"/>
        </w:rPr>
      </w:pPr>
      <w:r w:rsidRPr="00B234A5">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r>
      <w:r w:rsidR="00743E0E">
        <w:rPr>
          <w:b/>
          <w:sz w:val="28"/>
          <w:szCs w:val="28"/>
        </w:rPr>
        <w:t>5</w:t>
      </w:r>
    </w:p>
    <w:p w:rsidR="000B1C19" w:rsidRDefault="004E53A0" w:rsidP="000B1C19"/>
    <w:p w:rsidR="00B234A5" w:rsidRDefault="004E53A0" w:rsidP="00F43E25">
      <w:pPr>
        <w:pStyle w:val="ListParagraph"/>
        <w:numPr>
          <w:ilvl w:val="0"/>
          <w:numId w:val="5"/>
        </w:numPr>
        <w:rPr>
          <w:b/>
          <w:sz w:val="28"/>
          <w:szCs w:val="28"/>
        </w:rPr>
      </w:pPr>
      <w:r w:rsidRPr="00B234A5">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3E0E">
        <w:rPr>
          <w:b/>
          <w:sz w:val="28"/>
          <w:szCs w:val="28"/>
        </w:rPr>
        <w:t>5</w:t>
      </w:r>
    </w:p>
    <w:p w:rsidR="00B234A5" w:rsidRPr="008A683D" w:rsidRDefault="004E53A0" w:rsidP="008A683D">
      <w:pPr>
        <w:pStyle w:val="ListParagraph"/>
        <w:ind w:left="360"/>
        <w:rPr>
          <w:b/>
          <w:lang w:eastAsia="en-GB"/>
        </w:rPr>
      </w:pPr>
      <w:r>
        <w:rPr>
          <w:b/>
          <w:lang w:eastAsia="en-GB"/>
        </w:rPr>
        <w:t xml:space="preserve">3.1 </w:t>
      </w:r>
      <w:r w:rsidRPr="008A683D">
        <w:rPr>
          <w:lang w:eastAsia="en-GB"/>
        </w:rPr>
        <w:t>Man</w:t>
      </w:r>
      <w:r>
        <w:rPr>
          <w:lang w:eastAsia="en-GB"/>
        </w:rPr>
        <w:t>a</w:t>
      </w:r>
      <w:r w:rsidRPr="008A683D">
        <w:rPr>
          <w:lang w:eastAsia="en-GB"/>
        </w:rPr>
        <w:t>ging Transfers of Care</w:t>
      </w:r>
    </w:p>
    <w:p w:rsidR="008A683D" w:rsidRDefault="004E53A0" w:rsidP="008A683D">
      <w:pPr>
        <w:pStyle w:val="ListParagraph"/>
        <w:ind w:left="360"/>
        <w:rPr>
          <w:color w:val="auto"/>
        </w:rPr>
      </w:pPr>
      <w:r>
        <w:rPr>
          <w:b/>
          <w:color w:val="auto"/>
        </w:rPr>
        <w:t xml:space="preserve">3.2 </w:t>
      </w:r>
      <w:r w:rsidRPr="008567B3">
        <w:rPr>
          <w:i/>
          <w:color w:val="auto"/>
        </w:rPr>
        <w:t>Passport to I</w:t>
      </w:r>
      <w:r w:rsidRPr="008567B3">
        <w:rPr>
          <w:i/>
          <w:color w:val="auto"/>
        </w:rPr>
        <w:t>ndependence</w:t>
      </w:r>
      <w:r w:rsidRPr="008A683D">
        <w:rPr>
          <w:color w:val="auto"/>
        </w:rPr>
        <w:t xml:space="preserve"> ways of working for the Hospital Discharge </w:t>
      </w:r>
    </w:p>
    <w:p w:rsidR="008A683D" w:rsidRDefault="004E53A0" w:rsidP="008A683D">
      <w:pPr>
        <w:pStyle w:val="ListParagraph"/>
        <w:ind w:left="360"/>
        <w:rPr>
          <w:color w:val="auto"/>
        </w:rPr>
      </w:pPr>
      <w:r w:rsidRPr="008A683D">
        <w:rPr>
          <w:color w:val="auto"/>
        </w:rPr>
        <w:t>Teams</w:t>
      </w:r>
    </w:p>
    <w:p w:rsidR="008A683D" w:rsidRDefault="004E53A0" w:rsidP="008A683D">
      <w:pPr>
        <w:pStyle w:val="ListParagraph"/>
        <w:ind w:left="360"/>
      </w:pPr>
    </w:p>
    <w:p w:rsidR="00B234A5" w:rsidRPr="00B234A5" w:rsidRDefault="004E53A0" w:rsidP="00F43E25">
      <w:pPr>
        <w:pStyle w:val="ListParagraph"/>
        <w:numPr>
          <w:ilvl w:val="0"/>
          <w:numId w:val="5"/>
        </w:numPr>
        <w:rPr>
          <w:b/>
          <w:sz w:val="28"/>
          <w:szCs w:val="28"/>
        </w:rPr>
      </w:pPr>
      <w:r w:rsidRPr="00B234A5">
        <w:rPr>
          <w:b/>
          <w:sz w:val="28"/>
          <w:szCs w:val="28"/>
        </w:rPr>
        <w:t>FLOW CHARTS/DIAGRAMS OR EXAMPLES</w:t>
      </w:r>
      <w:r>
        <w:rPr>
          <w:b/>
          <w:sz w:val="28"/>
          <w:szCs w:val="28"/>
        </w:rPr>
        <w:tab/>
      </w:r>
      <w:r>
        <w:rPr>
          <w:b/>
          <w:sz w:val="28"/>
          <w:szCs w:val="28"/>
        </w:rPr>
        <w:tab/>
      </w:r>
      <w:r>
        <w:rPr>
          <w:b/>
          <w:sz w:val="28"/>
          <w:szCs w:val="28"/>
        </w:rPr>
        <w:tab/>
      </w:r>
      <w:r>
        <w:rPr>
          <w:b/>
          <w:sz w:val="28"/>
          <w:szCs w:val="28"/>
        </w:rPr>
        <w:tab/>
      </w:r>
      <w:r w:rsidR="00743E0E">
        <w:rPr>
          <w:b/>
          <w:sz w:val="28"/>
          <w:szCs w:val="28"/>
        </w:rPr>
        <w:t>7</w:t>
      </w:r>
    </w:p>
    <w:p w:rsidR="000F0E42" w:rsidRDefault="004E53A0" w:rsidP="008A683D">
      <w:pPr>
        <w:pStyle w:val="ListParagraph"/>
        <w:ind w:left="360"/>
        <w:jc w:val="left"/>
        <w:rPr>
          <w:b/>
          <w:lang w:eastAsia="en-GB"/>
        </w:rPr>
      </w:pPr>
    </w:p>
    <w:p w:rsidR="00202C9B" w:rsidRDefault="004E53A0" w:rsidP="008A683D">
      <w:pPr>
        <w:pStyle w:val="ListParagraph"/>
        <w:ind w:left="360"/>
        <w:jc w:val="left"/>
        <w:rPr>
          <w:lang w:eastAsia="en-GB"/>
        </w:rPr>
      </w:pPr>
      <w:r w:rsidRPr="008A683D">
        <w:rPr>
          <w:b/>
          <w:lang w:eastAsia="en-GB"/>
        </w:rPr>
        <w:t>Appendix 1</w:t>
      </w:r>
      <w:r>
        <w:rPr>
          <w:lang w:eastAsia="en-GB"/>
        </w:rPr>
        <w:t xml:space="preserve"> – Operational Process for Acute Discharge Teams within the </w:t>
      </w:r>
    </w:p>
    <w:p w:rsidR="008A683D" w:rsidRDefault="004E53A0" w:rsidP="008A683D">
      <w:pPr>
        <w:pStyle w:val="ListParagraph"/>
        <w:ind w:left="360"/>
        <w:jc w:val="left"/>
        <w:rPr>
          <w:lang w:eastAsia="en-GB"/>
        </w:rPr>
      </w:pPr>
      <w:r>
        <w:rPr>
          <w:lang w:eastAsia="en-GB"/>
        </w:rPr>
        <w:t>Adult Social Care Structure 2019.</w:t>
      </w:r>
    </w:p>
    <w:p w:rsidR="008A683D" w:rsidRDefault="004E53A0" w:rsidP="008A683D">
      <w:pPr>
        <w:pStyle w:val="Header"/>
        <w:ind w:left="360"/>
        <w:rPr>
          <w:color w:val="auto"/>
          <w:sz w:val="24"/>
          <w:szCs w:val="24"/>
        </w:rPr>
      </w:pPr>
      <w:r w:rsidRPr="00826452">
        <w:rPr>
          <w:b/>
          <w:color w:val="auto"/>
          <w:sz w:val="24"/>
          <w:szCs w:val="24"/>
          <w:lang w:eastAsia="en-GB"/>
        </w:rPr>
        <w:t>Appendix 2</w:t>
      </w:r>
      <w:r w:rsidRPr="00826452">
        <w:rPr>
          <w:color w:val="auto"/>
          <w:sz w:val="24"/>
          <w:szCs w:val="24"/>
          <w:lang w:eastAsia="en-GB"/>
        </w:rPr>
        <w:t xml:space="preserve"> - </w:t>
      </w:r>
      <w:r w:rsidRPr="00826452">
        <w:rPr>
          <w:color w:val="auto"/>
          <w:sz w:val="24"/>
          <w:szCs w:val="24"/>
        </w:rPr>
        <w:t>Hospital Discharge Pathway Version 2. 04/04/2019</w:t>
      </w:r>
    </w:p>
    <w:p w:rsidR="00B234A5" w:rsidRDefault="004E53A0" w:rsidP="00B234A5"/>
    <w:p w:rsidR="00B234A5" w:rsidRPr="00B234A5" w:rsidRDefault="004E53A0" w:rsidP="00F43E25">
      <w:pPr>
        <w:pStyle w:val="ListParagraph"/>
        <w:numPr>
          <w:ilvl w:val="0"/>
          <w:numId w:val="5"/>
        </w:numPr>
        <w:rPr>
          <w:b/>
          <w:sz w:val="28"/>
          <w:szCs w:val="28"/>
        </w:rPr>
      </w:pPr>
      <w:r w:rsidRPr="00B234A5">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3E0E">
        <w:rPr>
          <w:b/>
          <w:sz w:val="28"/>
          <w:szCs w:val="28"/>
        </w:rPr>
        <w:t>7</w:t>
      </w:r>
    </w:p>
    <w:p w:rsidR="00B234A5" w:rsidRDefault="004E53A0" w:rsidP="00B234A5"/>
    <w:p w:rsidR="00B234A5" w:rsidRPr="00B234A5" w:rsidRDefault="004E53A0" w:rsidP="00F43E25">
      <w:pPr>
        <w:pStyle w:val="ListParagraph"/>
        <w:numPr>
          <w:ilvl w:val="0"/>
          <w:numId w:val="5"/>
        </w:numPr>
        <w:rPr>
          <w:b/>
          <w:sz w:val="28"/>
          <w:szCs w:val="28"/>
        </w:rPr>
      </w:pPr>
      <w:r w:rsidRPr="00B234A5">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3E0E">
        <w:rPr>
          <w:b/>
          <w:sz w:val="28"/>
          <w:szCs w:val="28"/>
        </w:rPr>
        <w:t>7</w:t>
      </w:r>
      <w:bookmarkStart w:id="3" w:name="_GoBack"/>
      <w:bookmarkEnd w:id="3"/>
    </w:p>
    <w:p w:rsidR="006D7BB1" w:rsidRDefault="004E53A0" w:rsidP="00743E0E">
      <w:pPr>
        <w:sectPr w:rsidR="006D7BB1" w:rsidSect="00EC34EA">
          <w:pgSz w:w="11900" w:h="16840" w:code="9"/>
          <w:pgMar w:top="1440" w:right="1440" w:bottom="1440" w:left="1440" w:header="283" w:footer="283" w:gutter="0"/>
          <w:pgNumType w:start="1"/>
          <w:cols w:space="292"/>
          <w:docGrid w:linePitch="326"/>
        </w:sectPr>
      </w:pPr>
    </w:p>
    <w:p w:rsidR="00704283" w:rsidRDefault="004E53A0" w:rsidP="00704283">
      <w:pPr>
        <w:pStyle w:val="Heading1"/>
        <w:rPr>
          <w:sz w:val="36"/>
          <w:szCs w:val="36"/>
        </w:rPr>
      </w:pPr>
      <w:bookmarkStart w:id="4" w:name="_Toc426987059"/>
      <w:bookmarkStart w:id="5" w:name="_Toc304199309"/>
      <w:bookmarkEnd w:id="2"/>
      <w:r w:rsidRPr="00425B42">
        <w:rPr>
          <w:sz w:val="36"/>
          <w:szCs w:val="36"/>
        </w:rPr>
        <w:lastRenderedPageBreak/>
        <w:t>POLICY VERSION CONTROL</w:t>
      </w:r>
      <w:bookmarkEnd w:id="4"/>
    </w:p>
    <w:p w:rsidR="007F0B51" w:rsidRPr="007F0B51" w:rsidRDefault="004E53A0" w:rsidP="007F0B51">
      <w:pPr>
        <w:rPr>
          <w:lang w:eastAsia="en-GB"/>
        </w:rPr>
      </w:pPr>
    </w:p>
    <w:tbl>
      <w:tblPr>
        <w:tblStyle w:val="TableGrid"/>
        <w:tblW w:w="0" w:type="auto"/>
        <w:tblLook w:val="04A0" w:firstRow="1" w:lastRow="0" w:firstColumn="1" w:lastColumn="0" w:noHBand="0" w:noVBand="1"/>
      </w:tblPr>
      <w:tblGrid>
        <w:gridCol w:w="2563"/>
        <w:gridCol w:w="2394"/>
        <w:gridCol w:w="1701"/>
        <w:gridCol w:w="2352"/>
      </w:tblGrid>
      <w:tr w:rsidR="0020536E" w:rsidTr="007F0B51">
        <w:tc>
          <w:tcPr>
            <w:tcW w:w="2563" w:type="dxa"/>
            <w:tcBorders>
              <w:right w:val="single" w:sz="4" w:space="0" w:color="auto"/>
            </w:tcBorders>
            <w:shd w:val="clear" w:color="auto" w:fill="BFBFBF" w:themeFill="background1" w:themeFillShade="BF"/>
          </w:tcPr>
          <w:p w:rsidR="00704283" w:rsidRPr="00B050E0" w:rsidRDefault="004E53A0" w:rsidP="00B050E0">
            <w:pPr>
              <w:pStyle w:val="TOCHeader"/>
              <w:rPr>
                <w:sz w:val="24"/>
                <w:szCs w:val="24"/>
              </w:rPr>
            </w:pPr>
            <w:r w:rsidRPr="00B050E0">
              <w:rPr>
                <w:sz w:val="24"/>
                <w:szCs w:val="24"/>
              </w:rPr>
              <w:t>POLICY NAME</w:t>
            </w:r>
          </w:p>
        </w:tc>
        <w:tc>
          <w:tcPr>
            <w:tcW w:w="6447" w:type="dxa"/>
            <w:gridSpan w:val="3"/>
            <w:tcBorders>
              <w:top w:val="single" w:sz="4" w:space="0" w:color="auto"/>
              <w:left w:val="single" w:sz="4" w:space="0" w:color="auto"/>
              <w:bottom w:val="single" w:sz="4" w:space="0" w:color="auto"/>
              <w:right w:val="single" w:sz="4" w:space="0" w:color="auto"/>
            </w:tcBorders>
          </w:tcPr>
          <w:p w:rsidR="00704283" w:rsidRPr="00B050E0" w:rsidRDefault="004E53A0" w:rsidP="00B050E0">
            <w:pPr>
              <w:pStyle w:val="TOCHeader"/>
              <w:rPr>
                <w:b w:val="0"/>
                <w:sz w:val="24"/>
                <w:szCs w:val="24"/>
              </w:rPr>
            </w:pPr>
            <w:r>
              <w:rPr>
                <w:b w:val="0"/>
                <w:sz w:val="24"/>
                <w:szCs w:val="24"/>
              </w:rPr>
              <w:t>Discharge of hospital patients with care and support needs</w:t>
            </w:r>
            <w:r>
              <w:rPr>
                <w:b w:val="0"/>
                <w:sz w:val="24"/>
                <w:szCs w:val="24"/>
              </w:rPr>
              <w:t xml:space="preserve"> </w:t>
            </w:r>
            <w:r w:rsidRPr="006F2C61">
              <w:rPr>
                <w:b w:val="0"/>
                <w:sz w:val="20"/>
                <w:szCs w:val="20"/>
              </w:rPr>
              <w:t>(excluding those patients being discharged from mental health Hospitals)</w:t>
            </w:r>
          </w:p>
        </w:tc>
      </w:tr>
      <w:tr w:rsidR="0020536E" w:rsidTr="007F0B51">
        <w:tc>
          <w:tcPr>
            <w:tcW w:w="2563" w:type="dxa"/>
            <w:shd w:val="clear" w:color="auto" w:fill="BFBFBF" w:themeFill="background1" w:themeFillShade="BF"/>
          </w:tcPr>
          <w:p w:rsidR="00704283" w:rsidRPr="00B050E0" w:rsidRDefault="004E53A0" w:rsidP="00B050E0">
            <w:pPr>
              <w:pStyle w:val="TOCHeader"/>
              <w:rPr>
                <w:sz w:val="24"/>
                <w:szCs w:val="24"/>
              </w:rPr>
            </w:pPr>
            <w:r w:rsidRPr="00B050E0">
              <w:rPr>
                <w:sz w:val="24"/>
                <w:szCs w:val="24"/>
              </w:rPr>
              <w:t>Document Description</w:t>
            </w:r>
          </w:p>
        </w:tc>
        <w:tc>
          <w:tcPr>
            <w:tcW w:w="6447" w:type="dxa"/>
            <w:gridSpan w:val="3"/>
            <w:tcBorders>
              <w:top w:val="single" w:sz="4" w:space="0" w:color="auto"/>
            </w:tcBorders>
          </w:tcPr>
          <w:p w:rsidR="000F0E42" w:rsidRDefault="004E53A0" w:rsidP="000F0E42">
            <w:pPr>
              <w:rPr>
                <w:rFonts w:cs="Arial"/>
              </w:rPr>
            </w:pPr>
            <w:r w:rsidRPr="00E469F0">
              <w:rPr>
                <w:rFonts w:cs="Arial"/>
              </w:rPr>
              <w:t>This document sets out the county councils relevant duties under Section 74 of, and Schedule 3 to, the Care Act 2014</w:t>
            </w:r>
            <w:r>
              <w:rPr>
                <w:rFonts w:cs="Arial"/>
              </w:rPr>
              <w:t xml:space="preserve">. </w:t>
            </w:r>
            <w:r w:rsidRPr="00E469F0">
              <w:rPr>
                <w:rFonts w:cs="Arial"/>
              </w:rPr>
              <w:t>These Regulations make provision for the details of the scheme for the discharge of hospital patients with care and support needs</w:t>
            </w:r>
            <w:r>
              <w:rPr>
                <w:rFonts w:cs="Arial"/>
              </w:rPr>
              <w:t>.</w:t>
            </w:r>
          </w:p>
          <w:p w:rsidR="000F0E42" w:rsidRPr="00B42DC5" w:rsidRDefault="004E53A0" w:rsidP="000F0E42">
            <w:pPr>
              <w:rPr>
                <w:b/>
              </w:rPr>
            </w:pPr>
            <w:r>
              <w:rPr>
                <w:rFonts w:cs="Arial"/>
              </w:rPr>
              <w:t>This is</w:t>
            </w:r>
            <w:r>
              <w:rPr>
                <w:rFonts w:cs="Arial"/>
              </w:rPr>
              <w:t xml:space="preserve"> a revised policy that replaces the provisions of the Community Care (delayed Discharge) Act 2003.</w:t>
            </w:r>
            <w:r w:rsidRPr="00E469F0">
              <w:rPr>
                <w:rFonts w:cs="Arial"/>
              </w:rPr>
              <w:t xml:space="preserve"> </w:t>
            </w:r>
          </w:p>
        </w:tc>
      </w:tr>
      <w:tr w:rsidR="0020536E" w:rsidTr="00D81C13">
        <w:tc>
          <w:tcPr>
            <w:tcW w:w="2563" w:type="dxa"/>
            <w:shd w:val="clear" w:color="auto" w:fill="BFBFBF" w:themeFill="background1" w:themeFillShade="BF"/>
          </w:tcPr>
          <w:p w:rsidR="00704283" w:rsidRPr="00B050E0" w:rsidRDefault="004E53A0" w:rsidP="00B050E0">
            <w:pPr>
              <w:pStyle w:val="TOCHeader"/>
              <w:rPr>
                <w:sz w:val="24"/>
                <w:szCs w:val="24"/>
              </w:rPr>
            </w:pPr>
            <w:r w:rsidRPr="00B050E0">
              <w:rPr>
                <w:sz w:val="24"/>
                <w:szCs w:val="24"/>
              </w:rPr>
              <w:t>Document Owner</w:t>
            </w:r>
          </w:p>
          <w:p w:rsidR="00704283" w:rsidRPr="00B050E0" w:rsidRDefault="004E53A0" w:rsidP="00B050E0">
            <w:pPr>
              <w:pStyle w:val="TOCHeader"/>
              <w:jc w:val="left"/>
              <w:rPr>
                <w:sz w:val="24"/>
                <w:szCs w:val="24"/>
              </w:rPr>
            </w:pPr>
          </w:p>
        </w:tc>
        <w:tc>
          <w:tcPr>
            <w:tcW w:w="6447" w:type="dxa"/>
            <w:gridSpan w:val="3"/>
          </w:tcPr>
          <w:p w:rsidR="00B050E0" w:rsidRPr="00B050E0" w:rsidRDefault="004E53A0" w:rsidP="00025985">
            <w:pPr>
              <w:pStyle w:val="TOCHeader"/>
              <w:rPr>
                <w:b w:val="0"/>
                <w:sz w:val="24"/>
                <w:szCs w:val="24"/>
              </w:rPr>
            </w:pPr>
            <w:r>
              <w:rPr>
                <w:b w:val="0"/>
                <w:sz w:val="24"/>
                <w:szCs w:val="24"/>
              </w:rPr>
              <w:t xml:space="preserve">Sue </w:t>
            </w:r>
            <w:r>
              <w:rPr>
                <w:b w:val="0"/>
                <w:sz w:val="24"/>
                <w:szCs w:val="24"/>
              </w:rPr>
              <w:t>Lott</w:t>
            </w:r>
          </w:p>
        </w:tc>
      </w:tr>
      <w:tr w:rsidR="0020536E" w:rsidTr="000F0E42">
        <w:tc>
          <w:tcPr>
            <w:tcW w:w="2563" w:type="dxa"/>
            <w:shd w:val="clear" w:color="auto" w:fill="BFBFBF" w:themeFill="background1" w:themeFillShade="BF"/>
          </w:tcPr>
          <w:p w:rsidR="009D4264" w:rsidRPr="00B050E0" w:rsidRDefault="004E53A0" w:rsidP="00B050E0">
            <w:pPr>
              <w:pStyle w:val="TOCHeader"/>
              <w:rPr>
                <w:sz w:val="24"/>
                <w:szCs w:val="24"/>
              </w:rPr>
            </w:pPr>
            <w:r w:rsidRPr="00B050E0">
              <w:rPr>
                <w:sz w:val="24"/>
                <w:szCs w:val="24"/>
              </w:rPr>
              <w:t>Document Author</w:t>
            </w:r>
          </w:p>
        </w:tc>
        <w:tc>
          <w:tcPr>
            <w:tcW w:w="2394" w:type="dxa"/>
          </w:tcPr>
          <w:p w:rsidR="000B1C19" w:rsidRPr="00B050E0" w:rsidRDefault="004E53A0" w:rsidP="00C841FE">
            <w:pPr>
              <w:pStyle w:val="TOCHeader"/>
              <w:rPr>
                <w:b w:val="0"/>
                <w:sz w:val="24"/>
                <w:szCs w:val="24"/>
              </w:rPr>
            </w:pPr>
            <w:r>
              <w:rPr>
                <w:b w:val="0"/>
                <w:sz w:val="24"/>
                <w:szCs w:val="24"/>
              </w:rPr>
              <w:t>Lynne Johnstone</w:t>
            </w:r>
            <w:r>
              <w:rPr>
                <w:b w:val="0"/>
                <w:sz w:val="24"/>
                <w:szCs w:val="24"/>
              </w:rPr>
              <w:t>/</w:t>
            </w:r>
            <w:r>
              <w:rPr>
                <w:b w:val="0"/>
                <w:sz w:val="24"/>
                <w:szCs w:val="24"/>
              </w:rPr>
              <w:t>Saad Kafrika</w:t>
            </w:r>
            <w:r>
              <w:rPr>
                <w:b w:val="0"/>
                <w:sz w:val="24"/>
                <w:szCs w:val="24"/>
              </w:rPr>
              <w:t>/Sue Lott</w:t>
            </w:r>
          </w:p>
        </w:tc>
        <w:tc>
          <w:tcPr>
            <w:tcW w:w="1701" w:type="dxa"/>
            <w:tcBorders>
              <w:right w:val="single" w:sz="4" w:space="0" w:color="auto"/>
            </w:tcBorders>
            <w:shd w:val="clear" w:color="auto" w:fill="BFBFBF" w:themeFill="background1" w:themeFillShade="BF"/>
          </w:tcPr>
          <w:p w:rsidR="009D4264" w:rsidRPr="00B050E0" w:rsidRDefault="004E53A0" w:rsidP="002B4D50">
            <w:pPr>
              <w:pStyle w:val="TOCHeader"/>
              <w:rPr>
                <w:sz w:val="24"/>
                <w:szCs w:val="24"/>
              </w:rPr>
            </w:pPr>
            <w:r w:rsidRPr="00B050E0">
              <w:rPr>
                <w:sz w:val="24"/>
                <w:szCs w:val="24"/>
              </w:rPr>
              <w:t>Date</w:t>
            </w:r>
          </w:p>
        </w:tc>
        <w:tc>
          <w:tcPr>
            <w:tcW w:w="2352" w:type="dxa"/>
            <w:tcBorders>
              <w:top w:val="single" w:sz="4" w:space="0" w:color="auto"/>
              <w:left w:val="single" w:sz="4" w:space="0" w:color="auto"/>
              <w:bottom w:val="single" w:sz="4" w:space="0" w:color="auto"/>
              <w:right w:val="single" w:sz="4" w:space="0" w:color="auto"/>
            </w:tcBorders>
          </w:tcPr>
          <w:p w:rsidR="009D4264" w:rsidRPr="00B050E0" w:rsidRDefault="004E53A0" w:rsidP="00B050E0">
            <w:pPr>
              <w:pStyle w:val="TOCHeader"/>
              <w:rPr>
                <w:b w:val="0"/>
                <w:sz w:val="24"/>
                <w:szCs w:val="24"/>
              </w:rPr>
            </w:pPr>
          </w:p>
        </w:tc>
      </w:tr>
      <w:tr w:rsidR="0020536E" w:rsidTr="00D81C13">
        <w:tc>
          <w:tcPr>
            <w:tcW w:w="2563" w:type="dxa"/>
            <w:shd w:val="clear" w:color="auto" w:fill="BFBFBF" w:themeFill="background1" w:themeFillShade="BF"/>
          </w:tcPr>
          <w:p w:rsidR="00704283" w:rsidRPr="00B050E0" w:rsidRDefault="004E53A0" w:rsidP="00B050E0">
            <w:pPr>
              <w:pStyle w:val="TOCHeader"/>
              <w:rPr>
                <w:sz w:val="24"/>
                <w:szCs w:val="24"/>
              </w:rPr>
            </w:pPr>
            <w:r w:rsidRPr="00B050E0">
              <w:rPr>
                <w:sz w:val="24"/>
                <w:szCs w:val="24"/>
              </w:rPr>
              <w:t>Status</w:t>
            </w:r>
          </w:p>
          <w:p w:rsidR="00704283" w:rsidRPr="00B050E0" w:rsidRDefault="004E53A0" w:rsidP="007B50DC">
            <w:pPr>
              <w:pStyle w:val="TOCHeader"/>
              <w:rPr>
                <w:sz w:val="24"/>
                <w:szCs w:val="24"/>
              </w:rPr>
            </w:pPr>
          </w:p>
        </w:tc>
        <w:tc>
          <w:tcPr>
            <w:tcW w:w="2394" w:type="dxa"/>
          </w:tcPr>
          <w:p w:rsidR="00704283" w:rsidRPr="00B050E0" w:rsidRDefault="00743E0E" w:rsidP="00B050E0">
            <w:pPr>
              <w:pStyle w:val="TOCHeader"/>
              <w:rPr>
                <w:b w:val="0"/>
                <w:sz w:val="24"/>
                <w:szCs w:val="24"/>
              </w:rPr>
            </w:pPr>
            <w:r>
              <w:rPr>
                <w:b w:val="0"/>
                <w:sz w:val="24"/>
                <w:szCs w:val="24"/>
              </w:rPr>
              <w:t>LIVE</w:t>
            </w:r>
          </w:p>
        </w:tc>
        <w:tc>
          <w:tcPr>
            <w:tcW w:w="1701" w:type="dxa"/>
            <w:shd w:val="clear" w:color="auto" w:fill="BFBFBF" w:themeFill="background1" w:themeFillShade="BF"/>
          </w:tcPr>
          <w:p w:rsidR="00704283" w:rsidRPr="00B050E0" w:rsidRDefault="004E53A0" w:rsidP="00B050E0">
            <w:pPr>
              <w:pStyle w:val="TOCHeader"/>
              <w:rPr>
                <w:sz w:val="24"/>
                <w:szCs w:val="24"/>
              </w:rPr>
            </w:pPr>
            <w:r w:rsidRPr="00B050E0">
              <w:rPr>
                <w:sz w:val="24"/>
                <w:szCs w:val="24"/>
              </w:rPr>
              <w:t>Version</w:t>
            </w:r>
          </w:p>
        </w:tc>
        <w:tc>
          <w:tcPr>
            <w:tcW w:w="2352" w:type="dxa"/>
          </w:tcPr>
          <w:p w:rsidR="00704283" w:rsidRPr="00B050E0" w:rsidRDefault="00743E0E" w:rsidP="00B050E0">
            <w:pPr>
              <w:pStyle w:val="TOCHeader"/>
              <w:rPr>
                <w:b w:val="0"/>
                <w:sz w:val="24"/>
                <w:szCs w:val="24"/>
              </w:rPr>
            </w:pPr>
            <w:r>
              <w:rPr>
                <w:b w:val="0"/>
                <w:sz w:val="24"/>
                <w:szCs w:val="24"/>
              </w:rPr>
              <w:t>1.0</w:t>
            </w:r>
          </w:p>
        </w:tc>
      </w:tr>
      <w:tr w:rsidR="0020536E" w:rsidTr="00D81C13">
        <w:tc>
          <w:tcPr>
            <w:tcW w:w="2563" w:type="dxa"/>
            <w:shd w:val="clear" w:color="auto" w:fill="BFBFBF" w:themeFill="background1" w:themeFillShade="BF"/>
          </w:tcPr>
          <w:p w:rsidR="00704283" w:rsidRPr="00B050E0" w:rsidRDefault="004E53A0" w:rsidP="00B050E0">
            <w:pPr>
              <w:pStyle w:val="TOCHeader"/>
              <w:rPr>
                <w:sz w:val="24"/>
                <w:szCs w:val="24"/>
              </w:rPr>
            </w:pPr>
            <w:r w:rsidRPr="00B050E0">
              <w:rPr>
                <w:sz w:val="24"/>
                <w:szCs w:val="24"/>
              </w:rPr>
              <w:t>Last Review Date</w:t>
            </w:r>
          </w:p>
        </w:tc>
        <w:tc>
          <w:tcPr>
            <w:tcW w:w="2394" w:type="dxa"/>
          </w:tcPr>
          <w:p w:rsidR="00704283" w:rsidRPr="00B050E0" w:rsidRDefault="004E53A0" w:rsidP="00B050E0">
            <w:pPr>
              <w:pStyle w:val="TOCHeader"/>
              <w:rPr>
                <w:b w:val="0"/>
                <w:sz w:val="24"/>
                <w:szCs w:val="24"/>
              </w:rPr>
            </w:pPr>
          </w:p>
        </w:tc>
        <w:tc>
          <w:tcPr>
            <w:tcW w:w="1701" w:type="dxa"/>
            <w:shd w:val="clear" w:color="auto" w:fill="BFBFBF" w:themeFill="background1" w:themeFillShade="BF"/>
          </w:tcPr>
          <w:p w:rsidR="00704283" w:rsidRPr="00B050E0" w:rsidRDefault="004E53A0" w:rsidP="00B050E0">
            <w:pPr>
              <w:pStyle w:val="TOCHeader"/>
              <w:jc w:val="left"/>
              <w:rPr>
                <w:sz w:val="24"/>
                <w:szCs w:val="24"/>
              </w:rPr>
            </w:pPr>
            <w:r w:rsidRPr="00B050E0">
              <w:rPr>
                <w:sz w:val="24"/>
                <w:szCs w:val="24"/>
              </w:rPr>
              <w:t>Next Review Due date</w:t>
            </w:r>
          </w:p>
        </w:tc>
        <w:tc>
          <w:tcPr>
            <w:tcW w:w="2352" w:type="dxa"/>
          </w:tcPr>
          <w:p w:rsidR="00704283" w:rsidRPr="00B050E0" w:rsidRDefault="004E53A0" w:rsidP="00B050E0">
            <w:pPr>
              <w:pStyle w:val="TOCHeader"/>
              <w:rPr>
                <w:b w:val="0"/>
                <w:sz w:val="24"/>
                <w:szCs w:val="24"/>
              </w:rPr>
            </w:pPr>
          </w:p>
        </w:tc>
      </w:tr>
      <w:tr w:rsidR="0020536E" w:rsidTr="00D81C13">
        <w:tc>
          <w:tcPr>
            <w:tcW w:w="2563" w:type="dxa"/>
            <w:shd w:val="clear" w:color="auto" w:fill="BFBFBF" w:themeFill="background1" w:themeFillShade="BF"/>
          </w:tcPr>
          <w:p w:rsidR="00704283" w:rsidRPr="00B050E0" w:rsidRDefault="004E53A0" w:rsidP="00B050E0">
            <w:pPr>
              <w:pStyle w:val="TOCHeader"/>
              <w:rPr>
                <w:sz w:val="24"/>
                <w:szCs w:val="24"/>
              </w:rPr>
            </w:pPr>
            <w:r w:rsidRPr="00B050E0">
              <w:rPr>
                <w:sz w:val="24"/>
                <w:szCs w:val="24"/>
              </w:rPr>
              <w:t>Approved by</w:t>
            </w:r>
          </w:p>
        </w:tc>
        <w:tc>
          <w:tcPr>
            <w:tcW w:w="2394" w:type="dxa"/>
          </w:tcPr>
          <w:p w:rsidR="00B050E0" w:rsidRPr="00B050E0" w:rsidRDefault="004E53A0" w:rsidP="000B1C19">
            <w:pPr>
              <w:pStyle w:val="TOCHeader"/>
              <w:rPr>
                <w:b w:val="0"/>
                <w:sz w:val="24"/>
                <w:szCs w:val="24"/>
              </w:rPr>
            </w:pPr>
          </w:p>
        </w:tc>
        <w:tc>
          <w:tcPr>
            <w:tcW w:w="1701" w:type="dxa"/>
            <w:shd w:val="clear" w:color="auto" w:fill="BFBFBF" w:themeFill="background1" w:themeFillShade="BF"/>
          </w:tcPr>
          <w:p w:rsidR="00704283" w:rsidRPr="00B050E0" w:rsidRDefault="004E53A0" w:rsidP="00D81C13">
            <w:pPr>
              <w:pStyle w:val="TOCHeader"/>
              <w:rPr>
                <w:sz w:val="24"/>
                <w:szCs w:val="24"/>
              </w:rPr>
            </w:pPr>
            <w:r w:rsidRPr="00B050E0">
              <w:rPr>
                <w:sz w:val="24"/>
                <w:szCs w:val="24"/>
              </w:rPr>
              <w:t>Position</w:t>
            </w:r>
          </w:p>
        </w:tc>
        <w:tc>
          <w:tcPr>
            <w:tcW w:w="2352" w:type="dxa"/>
          </w:tcPr>
          <w:p w:rsidR="00704283" w:rsidRDefault="004E53A0" w:rsidP="00B050E0">
            <w:pPr>
              <w:pStyle w:val="TOCHeader"/>
              <w:rPr>
                <w:b w:val="0"/>
                <w:sz w:val="24"/>
                <w:szCs w:val="24"/>
              </w:rPr>
            </w:pPr>
          </w:p>
          <w:p w:rsidR="000B1C19" w:rsidRPr="00B050E0" w:rsidRDefault="004E53A0" w:rsidP="00B050E0">
            <w:pPr>
              <w:pStyle w:val="TOCHeader"/>
              <w:rPr>
                <w:b w:val="0"/>
                <w:sz w:val="24"/>
                <w:szCs w:val="24"/>
              </w:rPr>
            </w:pPr>
          </w:p>
        </w:tc>
      </w:tr>
      <w:tr w:rsidR="0020536E" w:rsidTr="00D81C13">
        <w:tc>
          <w:tcPr>
            <w:tcW w:w="2563" w:type="dxa"/>
            <w:shd w:val="clear" w:color="auto" w:fill="BFBFBF" w:themeFill="background1" w:themeFillShade="BF"/>
          </w:tcPr>
          <w:p w:rsidR="00D81C13" w:rsidRPr="00B050E0" w:rsidRDefault="004E53A0" w:rsidP="00B050E0">
            <w:pPr>
              <w:pStyle w:val="TOCHeader"/>
              <w:rPr>
                <w:sz w:val="24"/>
                <w:szCs w:val="24"/>
              </w:rPr>
            </w:pPr>
            <w:r w:rsidRPr="00B050E0">
              <w:rPr>
                <w:sz w:val="24"/>
                <w:szCs w:val="24"/>
              </w:rPr>
              <w:t>Signed</w:t>
            </w:r>
          </w:p>
        </w:tc>
        <w:tc>
          <w:tcPr>
            <w:tcW w:w="2394" w:type="dxa"/>
          </w:tcPr>
          <w:p w:rsidR="00D81C13" w:rsidRPr="00B050E0" w:rsidRDefault="004E53A0" w:rsidP="00B050E0">
            <w:pPr>
              <w:pStyle w:val="TOCHeader"/>
              <w:rPr>
                <w:b w:val="0"/>
                <w:sz w:val="24"/>
                <w:szCs w:val="24"/>
              </w:rPr>
            </w:pPr>
          </w:p>
        </w:tc>
        <w:tc>
          <w:tcPr>
            <w:tcW w:w="1701" w:type="dxa"/>
            <w:shd w:val="clear" w:color="auto" w:fill="BFBFBF" w:themeFill="background1" w:themeFillShade="BF"/>
          </w:tcPr>
          <w:p w:rsidR="00D81C13" w:rsidRPr="00B050E0" w:rsidRDefault="004E53A0" w:rsidP="00B050E0">
            <w:pPr>
              <w:pStyle w:val="TOCHeader"/>
              <w:rPr>
                <w:sz w:val="24"/>
                <w:szCs w:val="24"/>
              </w:rPr>
            </w:pPr>
            <w:r w:rsidRPr="00B050E0">
              <w:rPr>
                <w:sz w:val="24"/>
                <w:szCs w:val="24"/>
              </w:rPr>
              <w:t>Date Approved</w:t>
            </w:r>
          </w:p>
        </w:tc>
        <w:tc>
          <w:tcPr>
            <w:tcW w:w="2352" w:type="dxa"/>
          </w:tcPr>
          <w:p w:rsidR="00D81C13" w:rsidRPr="00B050E0" w:rsidRDefault="004E53A0" w:rsidP="00B050E0">
            <w:pPr>
              <w:pStyle w:val="TOCHeader"/>
              <w:rPr>
                <w:b w:val="0"/>
                <w:sz w:val="24"/>
                <w:szCs w:val="24"/>
              </w:rPr>
            </w:pPr>
          </w:p>
        </w:tc>
      </w:tr>
    </w:tbl>
    <w:p w:rsidR="00704283" w:rsidRDefault="004E53A0" w:rsidP="00704283">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20536E" w:rsidTr="00B050E0">
        <w:tc>
          <w:tcPr>
            <w:tcW w:w="9010" w:type="dxa"/>
            <w:gridSpan w:val="4"/>
            <w:shd w:val="clear" w:color="auto" w:fill="BFBFBF" w:themeFill="background1" w:themeFillShade="BF"/>
          </w:tcPr>
          <w:p w:rsidR="00704283" w:rsidRPr="00B050E0" w:rsidRDefault="004E53A0" w:rsidP="00B050E0">
            <w:pPr>
              <w:pStyle w:val="TOCHeader"/>
              <w:jc w:val="center"/>
              <w:rPr>
                <w:sz w:val="24"/>
                <w:szCs w:val="24"/>
              </w:rPr>
            </w:pPr>
            <w:r w:rsidRPr="00B050E0">
              <w:rPr>
                <w:sz w:val="24"/>
                <w:szCs w:val="24"/>
              </w:rPr>
              <w:t>DOCUMENT CHANGE HISTORY</w:t>
            </w:r>
          </w:p>
        </w:tc>
      </w:tr>
      <w:tr w:rsidR="0020536E" w:rsidTr="00B050E0">
        <w:trPr>
          <w:trHeight w:val="441"/>
        </w:trPr>
        <w:tc>
          <w:tcPr>
            <w:tcW w:w="1274" w:type="dxa"/>
          </w:tcPr>
          <w:p w:rsidR="00704283" w:rsidRPr="00B050E0" w:rsidRDefault="004E53A0" w:rsidP="00B050E0">
            <w:pPr>
              <w:pStyle w:val="TOCHeader"/>
              <w:jc w:val="center"/>
              <w:rPr>
                <w:sz w:val="24"/>
                <w:szCs w:val="24"/>
              </w:rPr>
            </w:pPr>
            <w:r w:rsidRPr="00B050E0">
              <w:rPr>
                <w:sz w:val="24"/>
                <w:szCs w:val="24"/>
              </w:rPr>
              <w:t>Version No</w:t>
            </w:r>
          </w:p>
        </w:tc>
        <w:tc>
          <w:tcPr>
            <w:tcW w:w="1274" w:type="dxa"/>
          </w:tcPr>
          <w:p w:rsidR="00704283" w:rsidRPr="00B050E0" w:rsidRDefault="004E53A0" w:rsidP="00B050E0">
            <w:pPr>
              <w:pStyle w:val="TOCHeader"/>
              <w:jc w:val="center"/>
              <w:rPr>
                <w:sz w:val="24"/>
                <w:szCs w:val="24"/>
              </w:rPr>
            </w:pPr>
            <w:r w:rsidRPr="00B050E0">
              <w:rPr>
                <w:sz w:val="24"/>
                <w:szCs w:val="24"/>
              </w:rPr>
              <w:t>Date</w:t>
            </w:r>
          </w:p>
        </w:tc>
        <w:tc>
          <w:tcPr>
            <w:tcW w:w="1275" w:type="dxa"/>
          </w:tcPr>
          <w:p w:rsidR="00704283" w:rsidRPr="00B050E0" w:rsidRDefault="004E53A0" w:rsidP="00B050E0">
            <w:pPr>
              <w:pStyle w:val="TOCHeader"/>
              <w:jc w:val="center"/>
              <w:rPr>
                <w:sz w:val="24"/>
                <w:szCs w:val="24"/>
              </w:rPr>
            </w:pPr>
            <w:r w:rsidRPr="00B050E0">
              <w:rPr>
                <w:sz w:val="24"/>
                <w:szCs w:val="24"/>
              </w:rPr>
              <w:t>Issues by</w:t>
            </w:r>
          </w:p>
        </w:tc>
        <w:tc>
          <w:tcPr>
            <w:tcW w:w="5187" w:type="dxa"/>
          </w:tcPr>
          <w:p w:rsidR="00704283" w:rsidRPr="00B050E0" w:rsidRDefault="004E53A0" w:rsidP="00B050E0">
            <w:pPr>
              <w:pStyle w:val="TOCHeader"/>
              <w:jc w:val="center"/>
              <w:rPr>
                <w:sz w:val="24"/>
                <w:szCs w:val="24"/>
              </w:rPr>
            </w:pPr>
            <w:r w:rsidRPr="00B050E0">
              <w:rPr>
                <w:sz w:val="24"/>
                <w:szCs w:val="24"/>
              </w:rPr>
              <w:t>Reason for change</w:t>
            </w:r>
          </w:p>
        </w:tc>
      </w:tr>
      <w:tr w:rsidR="0020536E" w:rsidTr="00B050E0">
        <w:trPr>
          <w:trHeight w:val="438"/>
        </w:trPr>
        <w:tc>
          <w:tcPr>
            <w:tcW w:w="1274" w:type="dxa"/>
          </w:tcPr>
          <w:p w:rsidR="00704283" w:rsidRPr="00B050E0" w:rsidRDefault="004E53A0" w:rsidP="00B050E0">
            <w:pPr>
              <w:pStyle w:val="TOCHeader"/>
              <w:rPr>
                <w:b w:val="0"/>
                <w:sz w:val="24"/>
                <w:szCs w:val="24"/>
              </w:rPr>
            </w:pPr>
          </w:p>
        </w:tc>
        <w:tc>
          <w:tcPr>
            <w:tcW w:w="1274" w:type="dxa"/>
          </w:tcPr>
          <w:p w:rsidR="00704283" w:rsidRPr="00B050E0" w:rsidRDefault="004E53A0" w:rsidP="00B050E0">
            <w:pPr>
              <w:pStyle w:val="TOCHeader"/>
              <w:rPr>
                <w:b w:val="0"/>
                <w:sz w:val="24"/>
                <w:szCs w:val="24"/>
              </w:rPr>
            </w:pPr>
          </w:p>
        </w:tc>
        <w:tc>
          <w:tcPr>
            <w:tcW w:w="1275" w:type="dxa"/>
          </w:tcPr>
          <w:p w:rsidR="00704283" w:rsidRPr="00B050E0" w:rsidRDefault="004E53A0" w:rsidP="00B050E0">
            <w:pPr>
              <w:pStyle w:val="TOCHeader"/>
              <w:rPr>
                <w:b w:val="0"/>
                <w:sz w:val="24"/>
                <w:szCs w:val="24"/>
              </w:rPr>
            </w:pPr>
          </w:p>
        </w:tc>
        <w:tc>
          <w:tcPr>
            <w:tcW w:w="5187" w:type="dxa"/>
          </w:tcPr>
          <w:p w:rsidR="00704283" w:rsidRPr="00B050E0" w:rsidRDefault="004E53A0" w:rsidP="00B050E0">
            <w:pPr>
              <w:pStyle w:val="TOCHeader"/>
              <w:rPr>
                <w:b w:val="0"/>
                <w:sz w:val="24"/>
                <w:szCs w:val="24"/>
              </w:rPr>
            </w:pPr>
          </w:p>
        </w:tc>
      </w:tr>
      <w:tr w:rsidR="0020536E" w:rsidTr="00B050E0">
        <w:trPr>
          <w:trHeight w:val="438"/>
        </w:trPr>
        <w:tc>
          <w:tcPr>
            <w:tcW w:w="1274" w:type="dxa"/>
          </w:tcPr>
          <w:p w:rsidR="00704283" w:rsidRPr="00B050E0" w:rsidRDefault="004E53A0" w:rsidP="00B050E0">
            <w:pPr>
              <w:pStyle w:val="TOCHeader"/>
              <w:rPr>
                <w:b w:val="0"/>
                <w:sz w:val="24"/>
                <w:szCs w:val="24"/>
              </w:rPr>
            </w:pPr>
          </w:p>
        </w:tc>
        <w:tc>
          <w:tcPr>
            <w:tcW w:w="1274" w:type="dxa"/>
          </w:tcPr>
          <w:p w:rsidR="00704283" w:rsidRPr="00B050E0" w:rsidRDefault="004E53A0" w:rsidP="00B050E0">
            <w:pPr>
              <w:pStyle w:val="TOCHeader"/>
              <w:rPr>
                <w:b w:val="0"/>
                <w:sz w:val="24"/>
                <w:szCs w:val="24"/>
              </w:rPr>
            </w:pPr>
          </w:p>
        </w:tc>
        <w:tc>
          <w:tcPr>
            <w:tcW w:w="1275" w:type="dxa"/>
          </w:tcPr>
          <w:p w:rsidR="00704283" w:rsidRPr="00B050E0" w:rsidRDefault="004E53A0" w:rsidP="00B050E0">
            <w:pPr>
              <w:pStyle w:val="TOCHeader"/>
              <w:rPr>
                <w:b w:val="0"/>
                <w:sz w:val="24"/>
                <w:szCs w:val="24"/>
              </w:rPr>
            </w:pPr>
          </w:p>
        </w:tc>
        <w:tc>
          <w:tcPr>
            <w:tcW w:w="5187" w:type="dxa"/>
          </w:tcPr>
          <w:p w:rsidR="00704283" w:rsidRPr="00B050E0" w:rsidRDefault="004E53A0" w:rsidP="00B050E0">
            <w:pPr>
              <w:pStyle w:val="TOCHeader"/>
              <w:rPr>
                <w:b w:val="0"/>
                <w:sz w:val="24"/>
                <w:szCs w:val="24"/>
              </w:rPr>
            </w:pPr>
          </w:p>
        </w:tc>
      </w:tr>
      <w:tr w:rsidR="0020536E" w:rsidTr="00B050E0">
        <w:trPr>
          <w:trHeight w:val="438"/>
        </w:trPr>
        <w:tc>
          <w:tcPr>
            <w:tcW w:w="1274" w:type="dxa"/>
          </w:tcPr>
          <w:p w:rsidR="00704283" w:rsidRPr="00B050E0" w:rsidRDefault="004E53A0" w:rsidP="00B050E0">
            <w:pPr>
              <w:pStyle w:val="TOCHeader"/>
              <w:rPr>
                <w:b w:val="0"/>
                <w:sz w:val="24"/>
                <w:szCs w:val="24"/>
              </w:rPr>
            </w:pPr>
          </w:p>
        </w:tc>
        <w:tc>
          <w:tcPr>
            <w:tcW w:w="1274" w:type="dxa"/>
          </w:tcPr>
          <w:p w:rsidR="00704283" w:rsidRPr="00B050E0" w:rsidRDefault="004E53A0" w:rsidP="00B050E0">
            <w:pPr>
              <w:pStyle w:val="TOCHeader"/>
              <w:rPr>
                <w:b w:val="0"/>
                <w:sz w:val="24"/>
                <w:szCs w:val="24"/>
              </w:rPr>
            </w:pPr>
          </w:p>
        </w:tc>
        <w:tc>
          <w:tcPr>
            <w:tcW w:w="1275" w:type="dxa"/>
          </w:tcPr>
          <w:p w:rsidR="00704283" w:rsidRPr="00B050E0" w:rsidRDefault="004E53A0" w:rsidP="00B050E0">
            <w:pPr>
              <w:pStyle w:val="TOCHeader"/>
              <w:rPr>
                <w:b w:val="0"/>
                <w:sz w:val="24"/>
                <w:szCs w:val="24"/>
              </w:rPr>
            </w:pPr>
          </w:p>
        </w:tc>
        <w:tc>
          <w:tcPr>
            <w:tcW w:w="5187" w:type="dxa"/>
          </w:tcPr>
          <w:p w:rsidR="00704283" w:rsidRPr="00B050E0" w:rsidRDefault="004E53A0" w:rsidP="00B050E0">
            <w:pPr>
              <w:pStyle w:val="TOCHeader"/>
              <w:rPr>
                <w:b w:val="0"/>
                <w:sz w:val="24"/>
                <w:szCs w:val="24"/>
              </w:rPr>
            </w:pPr>
          </w:p>
        </w:tc>
      </w:tr>
    </w:tbl>
    <w:p w:rsidR="00704283" w:rsidRDefault="004E53A0" w:rsidP="00F07D42">
      <w:pPr>
        <w:pStyle w:val="Instructiontext"/>
        <w:rPr>
          <w:b/>
          <w:highlight w:val="yellow"/>
        </w:rPr>
      </w:pPr>
    </w:p>
    <w:p w:rsidR="00704283" w:rsidRDefault="004E53A0" w:rsidP="00F07D42">
      <w:pPr>
        <w:pStyle w:val="Instructiontext"/>
        <w:rPr>
          <w:b/>
          <w:highlight w:val="yellow"/>
        </w:rPr>
      </w:pPr>
    </w:p>
    <w:p w:rsidR="00704283" w:rsidRDefault="004E53A0" w:rsidP="00F07D42">
      <w:pPr>
        <w:pStyle w:val="Instructiontext"/>
        <w:rPr>
          <w:b/>
          <w:highlight w:val="yellow"/>
        </w:rPr>
      </w:pPr>
    </w:p>
    <w:p w:rsidR="00704283" w:rsidRDefault="004E53A0" w:rsidP="00F07D42">
      <w:pPr>
        <w:pStyle w:val="Instructiontext"/>
        <w:rPr>
          <w:b/>
          <w:highlight w:val="yellow"/>
        </w:rPr>
      </w:pPr>
    </w:p>
    <w:p w:rsidR="005F7E10" w:rsidRPr="005F7E10" w:rsidRDefault="004E53A0" w:rsidP="00F07D42">
      <w:pPr>
        <w:pStyle w:val="Instructiontext"/>
        <w:rPr>
          <w:b/>
          <w:i w:val="0"/>
          <w:highlight w:val="yellow"/>
        </w:rPr>
      </w:pPr>
    </w:p>
    <w:p w:rsidR="00786347" w:rsidRDefault="004E53A0">
      <w:pPr>
        <w:autoSpaceDE/>
        <w:autoSpaceDN/>
        <w:adjustRightInd/>
        <w:spacing w:after="0"/>
        <w:jc w:val="left"/>
        <w:rPr>
          <w:lang w:eastAsia="en-GB"/>
        </w:rPr>
      </w:pPr>
      <w:bookmarkStart w:id="6" w:name="_Toc307236627"/>
      <w:bookmarkStart w:id="7" w:name="_Toc307236705"/>
      <w:r>
        <w:rPr>
          <w:lang w:eastAsia="en-GB"/>
        </w:rPr>
        <w:br w:type="page"/>
      </w:r>
    </w:p>
    <w:p w:rsidR="0003334A" w:rsidRDefault="004E53A0" w:rsidP="005F7E10">
      <w:pPr>
        <w:pStyle w:val="Heading1"/>
        <w:spacing w:before="0" w:after="0"/>
        <w:rPr>
          <w:sz w:val="28"/>
        </w:rPr>
      </w:pPr>
      <w:r>
        <w:rPr>
          <w:sz w:val="28"/>
        </w:rPr>
        <w:lastRenderedPageBreak/>
        <w:t>1. P</w:t>
      </w:r>
      <w:r>
        <w:rPr>
          <w:sz w:val="28"/>
        </w:rPr>
        <w:t>OLICY STATEMENT</w:t>
      </w:r>
    </w:p>
    <w:p w:rsidR="007B3796" w:rsidRDefault="004E53A0" w:rsidP="00F30427">
      <w:pPr>
        <w:spacing w:after="0"/>
        <w:rPr>
          <w:rFonts w:cs="Arial"/>
        </w:rPr>
      </w:pPr>
    </w:p>
    <w:p w:rsidR="00797B9D" w:rsidRDefault="004E53A0" w:rsidP="00F30427">
      <w:pPr>
        <w:spacing w:after="0"/>
        <w:rPr>
          <w:rFonts w:cs="Arial"/>
        </w:rPr>
      </w:pPr>
      <w:r>
        <w:rPr>
          <w:rFonts w:cs="Arial"/>
        </w:rPr>
        <w:t xml:space="preserve">Schedule 3 to the Care Act 2014 and the Care and Support Discharge of Hospital Patients) Regulations 2014, </w:t>
      </w:r>
      <w:r>
        <w:rPr>
          <w:rFonts w:cs="Arial"/>
        </w:rPr>
        <w:t>set out the obligations of health and social care staff involved in the discharge of patients from, acute hospitals, to communicate and plan to achie</w:t>
      </w:r>
      <w:r>
        <w:rPr>
          <w:rFonts w:cs="Arial"/>
        </w:rPr>
        <w:t>ve the best outcomes for the individual being discharged from hospital. These regulation</w:t>
      </w:r>
      <w:r>
        <w:rPr>
          <w:rFonts w:cs="Arial"/>
        </w:rPr>
        <w:t>s</w:t>
      </w:r>
      <w:r>
        <w:rPr>
          <w:rFonts w:cs="Arial"/>
        </w:rPr>
        <w:t xml:space="preserve"> replace the provisions of the Community Care (Delayed Discharge) Act 2003.</w:t>
      </w:r>
      <w:r>
        <w:rPr>
          <w:rFonts w:cs="Arial"/>
        </w:rPr>
        <w:t xml:space="preserve"> </w:t>
      </w:r>
    </w:p>
    <w:p w:rsidR="00743E0E" w:rsidRDefault="00743E0E" w:rsidP="00F30427">
      <w:pPr>
        <w:spacing w:after="0"/>
        <w:rPr>
          <w:rFonts w:cs="Arial"/>
        </w:rPr>
      </w:pPr>
    </w:p>
    <w:p w:rsidR="00F30427" w:rsidRDefault="004E53A0" w:rsidP="00F30427">
      <w:pPr>
        <w:spacing w:after="0"/>
        <w:rPr>
          <w:rFonts w:cs="Arial"/>
        </w:rPr>
      </w:pPr>
      <w:r>
        <w:rPr>
          <w:rFonts w:cs="Arial"/>
        </w:rPr>
        <w:t xml:space="preserve">This policy should be read alongside the </w:t>
      </w:r>
      <w:hyperlink r:id="rId10" w:anchor="AnnexG" w:history="1">
        <w:r w:rsidRPr="00797B9D">
          <w:rPr>
            <w:rStyle w:val="Hyperlink"/>
          </w:rPr>
          <w:t xml:space="preserve">Care Act Guidance, Annex G, </w:t>
        </w:r>
        <w:proofErr w:type="gramStart"/>
        <w:r w:rsidRPr="00797B9D">
          <w:rPr>
            <w:rStyle w:val="Hyperlink"/>
            <w:bCs/>
          </w:rPr>
          <w:t>The</w:t>
        </w:r>
        <w:proofErr w:type="gramEnd"/>
        <w:r w:rsidRPr="00797B9D">
          <w:rPr>
            <w:rStyle w:val="Hyperlink"/>
            <w:bCs/>
          </w:rPr>
          <w:t xml:space="preserve"> process for managing transfers of care from hospital for patients with care and support needs</w:t>
        </w:r>
      </w:hyperlink>
      <w:r>
        <w:rPr>
          <w:rFonts w:cs="Arial"/>
          <w:bCs/>
          <w:color w:val="0B0C0C"/>
        </w:rPr>
        <w:t>.</w:t>
      </w:r>
    </w:p>
    <w:p w:rsidR="00797B9D" w:rsidRDefault="004E53A0" w:rsidP="00F30427">
      <w:pPr>
        <w:spacing w:after="0"/>
        <w:rPr>
          <w:rFonts w:cs="Arial"/>
        </w:rPr>
      </w:pPr>
    </w:p>
    <w:p w:rsidR="007F1F28" w:rsidRDefault="004E53A0" w:rsidP="00F30427">
      <w:pPr>
        <w:spacing w:after="0"/>
        <w:rPr>
          <w:rFonts w:cs="Arial"/>
        </w:rPr>
      </w:pPr>
      <w:r w:rsidRPr="00C841FE">
        <w:rPr>
          <w:rFonts w:cs="Arial"/>
        </w:rPr>
        <w:t>In Lancashire, the majority of hospital di</w:t>
      </w:r>
      <w:r w:rsidRPr="00C841FE">
        <w:rPr>
          <w:rFonts w:cs="Arial"/>
        </w:rPr>
        <w:t>scharges are managed through</w:t>
      </w:r>
      <w:r w:rsidRPr="00C841FE">
        <w:rPr>
          <w:rFonts w:cs="Arial"/>
        </w:rPr>
        <w:t xml:space="preserve"> </w:t>
      </w:r>
      <w:r w:rsidRPr="00C841FE">
        <w:rPr>
          <w:rFonts w:cs="Arial"/>
        </w:rPr>
        <w:t>local hospital discharge teams</w:t>
      </w:r>
      <w:r w:rsidRPr="00C841FE">
        <w:rPr>
          <w:rFonts w:cs="Arial"/>
        </w:rPr>
        <w:t>.</w:t>
      </w:r>
    </w:p>
    <w:p w:rsidR="007F1F28" w:rsidRDefault="004E53A0" w:rsidP="00F30427">
      <w:pPr>
        <w:spacing w:after="0"/>
        <w:rPr>
          <w:rFonts w:cs="Arial"/>
        </w:rPr>
      </w:pPr>
    </w:p>
    <w:p w:rsidR="007F1F28" w:rsidRDefault="004E53A0" w:rsidP="00F30427">
      <w:pPr>
        <w:spacing w:after="0"/>
        <w:rPr>
          <w:rFonts w:cs="Arial"/>
        </w:rPr>
      </w:pPr>
      <w:r>
        <w:rPr>
          <w:rFonts w:cs="Arial"/>
        </w:rPr>
        <w:t>The new regulation</w:t>
      </w:r>
      <w:r>
        <w:rPr>
          <w:rFonts w:cs="Arial"/>
        </w:rPr>
        <w:t>s</w:t>
      </w:r>
      <w:r>
        <w:rPr>
          <w:rFonts w:cs="Arial"/>
        </w:rPr>
        <w:t xml:space="preserve"> and guidance focus on those NHS hospital patients who have been receiving acute care and whose discharge from hospital is unlikely to be safe without some care a</w:t>
      </w:r>
      <w:r>
        <w:rPr>
          <w:rFonts w:cs="Arial"/>
        </w:rPr>
        <w:t>nd</w:t>
      </w:r>
      <w:r>
        <w:rPr>
          <w:rFonts w:cs="Arial"/>
        </w:rPr>
        <w:t xml:space="preserve"> support in</w:t>
      </w:r>
      <w:r>
        <w:rPr>
          <w:rFonts w:cs="Arial"/>
        </w:rPr>
        <w:t>put.</w:t>
      </w:r>
    </w:p>
    <w:p w:rsidR="007F1F28" w:rsidRDefault="004E53A0" w:rsidP="00F30427">
      <w:pPr>
        <w:spacing w:after="0"/>
        <w:rPr>
          <w:rFonts w:cs="Arial"/>
        </w:rPr>
      </w:pPr>
    </w:p>
    <w:p w:rsidR="00FC75FA" w:rsidRDefault="004E53A0" w:rsidP="00FC75FA">
      <w:pPr>
        <w:spacing w:after="0"/>
        <w:rPr>
          <w:rFonts w:cs="Arial"/>
        </w:rPr>
      </w:pPr>
      <w:r>
        <w:rPr>
          <w:rFonts w:cs="Arial"/>
        </w:rPr>
        <w:t xml:space="preserve">Safe discharge planning applies to all patients. As do broader legal duties to ensure this happens. Safe and timely discharge planning requires </w:t>
      </w:r>
      <w:r w:rsidRPr="00D27157">
        <w:rPr>
          <w:rFonts w:cs="Arial"/>
          <w:bCs/>
        </w:rPr>
        <w:t>Multidisciplinary and Multiagency working</w:t>
      </w:r>
      <w:r>
        <w:rPr>
          <w:rFonts w:cs="Arial"/>
          <w:bCs/>
        </w:rPr>
        <w:t xml:space="preserve"> which</w:t>
      </w:r>
      <w:r w:rsidRPr="00D27157">
        <w:rPr>
          <w:rFonts w:cs="Arial"/>
        </w:rPr>
        <w:t xml:space="preserve"> involves appropriately utilising knowledge, skills and bes</w:t>
      </w:r>
      <w:r w:rsidRPr="00D27157">
        <w:rPr>
          <w:rFonts w:cs="Arial"/>
        </w:rPr>
        <w:t>t practice from multiple disciplines and across service provider bound</w:t>
      </w:r>
      <w:r>
        <w:rPr>
          <w:rFonts w:cs="Arial"/>
        </w:rPr>
        <w:t xml:space="preserve">aries, e.g. health </w:t>
      </w:r>
      <w:r w:rsidRPr="00D27157">
        <w:rPr>
          <w:rFonts w:cs="Arial"/>
        </w:rPr>
        <w:t>or voluntary</w:t>
      </w:r>
      <w:r>
        <w:rPr>
          <w:rFonts w:cs="Arial"/>
        </w:rPr>
        <w:t xml:space="preserve"> and private sector providers.</w:t>
      </w:r>
      <w:r w:rsidRPr="00D27157">
        <w:rPr>
          <w:rFonts w:cs="Arial"/>
        </w:rPr>
        <w:t xml:space="preserve"> </w:t>
      </w:r>
      <w:r>
        <w:rPr>
          <w:rFonts w:cs="Arial"/>
        </w:rPr>
        <w:t xml:space="preserve">However, the statutory provisions relating to reimbursement apply specifically to transfer of care from NHS hospitals to </w:t>
      </w:r>
      <w:r>
        <w:rPr>
          <w:rFonts w:cs="Arial"/>
        </w:rPr>
        <w:t>Local Authority care of patients with care and support needs, which can be measured in a fair way and which has historically been an issue.</w:t>
      </w:r>
    </w:p>
    <w:p w:rsidR="00FC75FA" w:rsidRDefault="004E53A0" w:rsidP="00FC75FA">
      <w:pPr>
        <w:spacing w:after="0"/>
        <w:rPr>
          <w:rFonts w:cs="Arial"/>
        </w:rPr>
      </w:pPr>
    </w:p>
    <w:p w:rsidR="00FC75FA" w:rsidRDefault="004E53A0" w:rsidP="00FC75FA">
      <w:pPr>
        <w:spacing w:after="0"/>
        <w:rPr>
          <w:rFonts w:cs="Arial"/>
        </w:rPr>
      </w:pPr>
      <w:r>
        <w:rPr>
          <w:rFonts w:cs="Arial"/>
        </w:rPr>
        <w:t xml:space="preserve">Legal discharge planning must take into account the mental capacity of all patients. </w:t>
      </w:r>
      <w:r w:rsidRPr="00F85DC0">
        <w:rPr>
          <w:rFonts w:cs="Arial"/>
        </w:rPr>
        <w:t>The M</w:t>
      </w:r>
      <w:r>
        <w:rPr>
          <w:rFonts w:cs="Arial"/>
        </w:rPr>
        <w:t xml:space="preserve">ental </w:t>
      </w:r>
      <w:r w:rsidRPr="00F85DC0">
        <w:rPr>
          <w:rFonts w:cs="Arial"/>
        </w:rPr>
        <w:t>C</w:t>
      </w:r>
      <w:r>
        <w:rPr>
          <w:rFonts w:cs="Arial"/>
        </w:rPr>
        <w:t>apacity Act (</w:t>
      </w:r>
      <w:r w:rsidRPr="00F85DC0">
        <w:rPr>
          <w:rFonts w:cs="Arial"/>
        </w:rPr>
        <w:t>2005</w:t>
      </w:r>
      <w:r>
        <w:rPr>
          <w:rFonts w:cs="Arial"/>
        </w:rPr>
        <w:t>)</w:t>
      </w:r>
      <w:r w:rsidRPr="00F85DC0">
        <w:rPr>
          <w:rFonts w:cs="Arial"/>
        </w:rPr>
        <w:t xml:space="preserve"> applies to everyone over 16 years who may lack capacity to make specific decisions about their life</w:t>
      </w:r>
      <w:r>
        <w:rPr>
          <w:rFonts w:cs="Arial"/>
        </w:rPr>
        <w:t xml:space="preserve"> at the point of discharge from hospital</w:t>
      </w:r>
      <w:r w:rsidRPr="00F85DC0">
        <w:rPr>
          <w:rFonts w:cs="Arial"/>
        </w:rPr>
        <w:t>. These decisions can range from the straight forward to more complex, life changing matters</w:t>
      </w:r>
      <w:r>
        <w:rPr>
          <w:rFonts w:cs="Arial"/>
        </w:rPr>
        <w:t xml:space="preserve"> like moving into a care</w:t>
      </w:r>
      <w:r>
        <w:rPr>
          <w:rFonts w:cs="Arial"/>
        </w:rPr>
        <w:t xml:space="preserve"> home. </w:t>
      </w:r>
      <w:r w:rsidRPr="00F85DC0">
        <w:rPr>
          <w:rFonts w:cs="Arial"/>
        </w:rPr>
        <w:t xml:space="preserve">The </w:t>
      </w:r>
      <w:r w:rsidRPr="00F85DC0">
        <w:rPr>
          <w:rFonts w:cs="Arial"/>
        </w:rPr>
        <w:t>M</w:t>
      </w:r>
      <w:r>
        <w:rPr>
          <w:rFonts w:cs="Arial"/>
        </w:rPr>
        <w:t xml:space="preserve">ental </w:t>
      </w:r>
      <w:r w:rsidRPr="00F85DC0">
        <w:rPr>
          <w:rFonts w:cs="Arial"/>
        </w:rPr>
        <w:t>C</w:t>
      </w:r>
      <w:r>
        <w:rPr>
          <w:rFonts w:cs="Arial"/>
        </w:rPr>
        <w:t>apacity Act</w:t>
      </w:r>
      <w:r w:rsidRPr="00F85DC0">
        <w:rPr>
          <w:rFonts w:cs="Arial"/>
        </w:rPr>
        <w:t xml:space="preserve"> </w:t>
      </w:r>
      <w:r>
        <w:rPr>
          <w:rFonts w:cs="Arial"/>
        </w:rPr>
        <w:t xml:space="preserve">(MCA) </w:t>
      </w:r>
      <w:r w:rsidRPr="00F85DC0">
        <w:rPr>
          <w:rFonts w:cs="Arial"/>
        </w:rPr>
        <w:t>protects the rights of individuals: it clarifies what can and can’t be done for / with someone who lacks capacity, and how those making decisions for them must apply the principles of Best Interests and Least Restrictiv</w:t>
      </w:r>
      <w:r w:rsidRPr="00F85DC0">
        <w:rPr>
          <w:rFonts w:cs="Arial"/>
        </w:rPr>
        <w:t>e option.</w:t>
      </w:r>
      <w:r>
        <w:rPr>
          <w:rFonts w:cs="Arial"/>
        </w:rPr>
        <w:t xml:space="preserve"> </w:t>
      </w:r>
      <w:r w:rsidRPr="009C3E1E">
        <w:rPr>
          <w:rFonts w:cs="Arial"/>
        </w:rPr>
        <w:t xml:space="preserve">The </w:t>
      </w:r>
      <w:r w:rsidRPr="00F85DC0">
        <w:rPr>
          <w:rFonts w:cs="Arial"/>
        </w:rPr>
        <w:t>M</w:t>
      </w:r>
      <w:r>
        <w:rPr>
          <w:rFonts w:cs="Arial"/>
        </w:rPr>
        <w:t xml:space="preserve">ental </w:t>
      </w:r>
      <w:r w:rsidRPr="00F85DC0">
        <w:rPr>
          <w:rFonts w:cs="Arial"/>
        </w:rPr>
        <w:t>C</w:t>
      </w:r>
      <w:r>
        <w:rPr>
          <w:rFonts w:cs="Arial"/>
        </w:rPr>
        <w:t>apacity Act</w:t>
      </w:r>
      <w:r w:rsidRPr="009C3E1E">
        <w:rPr>
          <w:rFonts w:cs="Arial"/>
        </w:rPr>
        <w:t xml:space="preserve"> Code of Practice provides detailed guidance on the Act. Professionals and carers must have regard to the Code. Further information: </w:t>
      </w:r>
    </w:p>
    <w:p w:rsidR="006F15DA" w:rsidRPr="009C3E1E" w:rsidRDefault="004E53A0" w:rsidP="00FC75FA">
      <w:pPr>
        <w:spacing w:after="0"/>
        <w:rPr>
          <w:rFonts w:cs="Arial"/>
        </w:rPr>
      </w:pPr>
    </w:p>
    <w:p w:rsidR="00FC75FA" w:rsidRPr="00B86400" w:rsidRDefault="004E53A0" w:rsidP="00F43E25">
      <w:pPr>
        <w:pStyle w:val="ListParagraph"/>
        <w:numPr>
          <w:ilvl w:val="0"/>
          <w:numId w:val="10"/>
        </w:numPr>
        <w:spacing w:after="0"/>
        <w:rPr>
          <w:rFonts w:cs="Arial"/>
        </w:rPr>
      </w:pPr>
      <w:hyperlink r:id="rId11" w:history="1">
        <w:r w:rsidRPr="00B86400">
          <w:rPr>
            <w:rStyle w:val="Hyperlink"/>
          </w:rPr>
          <w:t>www.gov.uk/government/collections/mental-capacity-act-making-decisions</w:t>
        </w:r>
      </w:hyperlink>
      <w:r w:rsidRPr="00B86400">
        <w:rPr>
          <w:rFonts w:cs="Arial"/>
        </w:rPr>
        <w:t xml:space="preserve"> </w:t>
      </w:r>
    </w:p>
    <w:p w:rsidR="00FC75FA" w:rsidRPr="00B86400" w:rsidRDefault="004E53A0" w:rsidP="00F43E25">
      <w:pPr>
        <w:pStyle w:val="ListParagraph"/>
        <w:numPr>
          <w:ilvl w:val="0"/>
          <w:numId w:val="10"/>
        </w:numPr>
        <w:spacing w:after="0"/>
        <w:rPr>
          <w:rFonts w:cs="Arial"/>
        </w:rPr>
      </w:pPr>
      <w:hyperlink r:id="rId12" w:history="1">
        <w:r w:rsidRPr="00B86400">
          <w:rPr>
            <w:rStyle w:val="Hyperlink"/>
          </w:rPr>
          <w:t>www.scie.org.uk/mca</w:t>
        </w:r>
      </w:hyperlink>
      <w:r w:rsidRPr="00B86400">
        <w:rPr>
          <w:rFonts w:cs="Arial"/>
        </w:rPr>
        <w:t xml:space="preserve"> </w:t>
      </w:r>
    </w:p>
    <w:p w:rsidR="00FC75FA" w:rsidRPr="00B86400" w:rsidRDefault="004E53A0" w:rsidP="00F43E25">
      <w:pPr>
        <w:pStyle w:val="ListParagraph"/>
        <w:numPr>
          <w:ilvl w:val="0"/>
          <w:numId w:val="10"/>
        </w:numPr>
        <w:spacing w:after="0"/>
        <w:rPr>
          <w:rFonts w:cs="Arial"/>
        </w:rPr>
      </w:pPr>
      <w:hyperlink r:id="rId13" w:history="1">
        <w:r w:rsidRPr="00B86400">
          <w:rPr>
            <w:rStyle w:val="Hyperlink"/>
          </w:rPr>
          <w:t>www.lancashiresafeguarding.org.uk/lancashire-safeguarding-ad</w:t>
        </w:r>
        <w:r w:rsidRPr="00B86400">
          <w:rPr>
            <w:rStyle w:val="Hyperlink"/>
          </w:rPr>
          <w:t>ults.aspx</w:t>
        </w:r>
      </w:hyperlink>
      <w:r w:rsidRPr="00B86400">
        <w:rPr>
          <w:rFonts w:cs="Arial"/>
        </w:rPr>
        <w:t xml:space="preserve"> </w:t>
      </w:r>
    </w:p>
    <w:p w:rsidR="00FC75FA" w:rsidRDefault="004E53A0" w:rsidP="00FC75FA">
      <w:pPr>
        <w:spacing w:after="0"/>
        <w:rPr>
          <w:rFonts w:cs="Arial"/>
        </w:rPr>
      </w:pPr>
    </w:p>
    <w:p w:rsidR="00FC75FA" w:rsidRPr="009C3E1E" w:rsidRDefault="004E53A0" w:rsidP="00FC75FA">
      <w:pPr>
        <w:spacing w:after="0"/>
        <w:rPr>
          <w:rFonts w:cs="Arial"/>
        </w:rPr>
      </w:pPr>
      <w:r>
        <w:rPr>
          <w:rFonts w:cs="Arial"/>
        </w:rPr>
        <w:t xml:space="preserve">Discharge planning must take into account the </w:t>
      </w:r>
      <w:hyperlink r:id="rId14" w:history="1">
        <w:r w:rsidRPr="00B86400">
          <w:rPr>
            <w:rStyle w:val="Hyperlink"/>
          </w:rPr>
          <w:t>Ordinary Residence</w:t>
        </w:r>
      </w:hyperlink>
      <w:r>
        <w:rPr>
          <w:rFonts w:cs="Arial"/>
        </w:rPr>
        <w:t xml:space="preserve"> of all patients.</w:t>
      </w:r>
      <w:r w:rsidRPr="0081724A">
        <w:rPr>
          <w:rFonts w:cs="Arial"/>
          <w:lang w:val="en"/>
        </w:rPr>
        <w:t xml:space="preserve"> The test for ordinary residence, which determines which local authority would be responsible for meeti</w:t>
      </w:r>
      <w:r w:rsidRPr="0081724A">
        <w:rPr>
          <w:rFonts w:cs="Arial"/>
          <w:lang w:val="en"/>
        </w:rPr>
        <w:t xml:space="preserve">ng needs, applies differently in relation to adults with needs for care and support and carers. For adults with care and support needs, the local authority in which the adult is ordinarily resident will be responsible for meeting their eligible needs. For </w:t>
      </w:r>
      <w:r w:rsidRPr="0081724A">
        <w:rPr>
          <w:rFonts w:cs="Arial"/>
          <w:lang w:val="en"/>
        </w:rPr>
        <w:t>carers, however, the responsible local authority will be the one where the adult for whom they care is ordinarily resident.</w:t>
      </w:r>
    </w:p>
    <w:p w:rsidR="0052703C" w:rsidRDefault="004E53A0" w:rsidP="00F30427">
      <w:pPr>
        <w:spacing w:after="0"/>
        <w:rPr>
          <w:rFonts w:cs="Arial"/>
        </w:rPr>
      </w:pPr>
    </w:p>
    <w:p w:rsidR="0052703C" w:rsidRDefault="004E53A0" w:rsidP="00F30427">
      <w:pPr>
        <w:spacing w:after="0"/>
        <w:rPr>
          <w:rFonts w:cs="Arial"/>
        </w:rPr>
      </w:pPr>
      <w:r>
        <w:rPr>
          <w:rFonts w:cs="Arial"/>
        </w:rPr>
        <w:t>The key changes of the new regulation are identified below.</w:t>
      </w:r>
    </w:p>
    <w:p w:rsidR="00172E10" w:rsidRDefault="004E53A0" w:rsidP="00F30427">
      <w:pPr>
        <w:spacing w:after="0"/>
        <w:rPr>
          <w:rFonts w:cs="Arial"/>
        </w:rPr>
      </w:pPr>
    </w:p>
    <w:p w:rsidR="00F373F3" w:rsidRDefault="004E53A0" w:rsidP="00F43E25">
      <w:pPr>
        <w:pStyle w:val="ListParagraph"/>
        <w:numPr>
          <w:ilvl w:val="0"/>
          <w:numId w:val="7"/>
        </w:numPr>
        <w:spacing w:after="0"/>
        <w:rPr>
          <w:rFonts w:cs="Arial"/>
        </w:rPr>
      </w:pPr>
      <w:r>
        <w:rPr>
          <w:rFonts w:cs="Arial"/>
        </w:rPr>
        <w:t xml:space="preserve">For those delays, which are recorded as being attributable to the </w:t>
      </w:r>
      <w:r>
        <w:rPr>
          <w:rFonts w:cs="Arial"/>
        </w:rPr>
        <w:t>Local Authority, the NHS is no longer obliged to see</w:t>
      </w:r>
      <w:r>
        <w:rPr>
          <w:rFonts w:cs="Arial"/>
        </w:rPr>
        <w:t>k</w:t>
      </w:r>
      <w:r>
        <w:rPr>
          <w:rFonts w:cs="Arial"/>
        </w:rPr>
        <w:t xml:space="preserve"> reimbursement. This is intended to reinforce the need to focus on joint working at a local level as a way of reducing those days attributable to the Local Authority, with the expectation that reimbursem</w:t>
      </w:r>
      <w:r>
        <w:rPr>
          <w:rFonts w:cs="Arial"/>
        </w:rPr>
        <w:t>ent generally would only be asked for by the NHS as a last resort.</w:t>
      </w:r>
    </w:p>
    <w:p w:rsidR="00F373F3" w:rsidRDefault="004E53A0" w:rsidP="00F43E25">
      <w:pPr>
        <w:pStyle w:val="ListParagraph"/>
        <w:numPr>
          <w:ilvl w:val="0"/>
          <w:numId w:val="7"/>
        </w:numPr>
        <w:spacing w:after="0"/>
        <w:rPr>
          <w:rFonts w:cs="Arial"/>
        </w:rPr>
      </w:pPr>
      <w:r>
        <w:rPr>
          <w:rFonts w:cs="Arial"/>
        </w:rPr>
        <w:t>In keeping with the expectations that both the NHS and the Local Authority should be operating on the basis of a 7-day model, the regulations remove weekends and bank holidays as being exem</w:t>
      </w:r>
      <w:r>
        <w:rPr>
          <w:rFonts w:cs="Arial"/>
        </w:rPr>
        <w:t>pt from reimbursement.</w:t>
      </w:r>
    </w:p>
    <w:p w:rsidR="00F373F3" w:rsidRDefault="004E53A0" w:rsidP="00F43E25">
      <w:pPr>
        <w:pStyle w:val="ListParagraph"/>
        <w:numPr>
          <w:ilvl w:val="0"/>
          <w:numId w:val="7"/>
        </w:numPr>
        <w:spacing w:after="0"/>
        <w:rPr>
          <w:rFonts w:cs="Arial"/>
        </w:rPr>
      </w:pPr>
      <w:r>
        <w:rPr>
          <w:rFonts w:cs="Arial"/>
        </w:rPr>
        <w:t xml:space="preserve">To reflect that there has been no increase in the reimbursement rates since 2003, the updated regulations increase the proposed discretionary reimbursement rates by the Consumer </w:t>
      </w:r>
      <w:r>
        <w:rPr>
          <w:rFonts w:cs="Arial"/>
        </w:rPr>
        <w:t>Price</w:t>
      </w:r>
      <w:r>
        <w:rPr>
          <w:rFonts w:cs="Arial"/>
        </w:rPr>
        <w:t xml:space="preserve"> Index </w:t>
      </w:r>
      <w:r>
        <w:rPr>
          <w:rFonts w:cs="Arial"/>
        </w:rPr>
        <w:t>measure</w:t>
      </w:r>
      <w:r>
        <w:rPr>
          <w:rFonts w:cs="Arial"/>
        </w:rPr>
        <w:t xml:space="preserve"> of inflation since 2003. This means</w:t>
      </w:r>
      <w:r>
        <w:rPr>
          <w:rFonts w:cs="Arial"/>
        </w:rPr>
        <w:t xml:space="preserve"> an increase for Local authorities outside of London from £100 to £130 </w:t>
      </w:r>
      <w:r>
        <w:rPr>
          <w:rFonts w:cs="Arial"/>
        </w:rPr>
        <w:t xml:space="preserve">per day </w:t>
      </w:r>
      <w:r>
        <w:rPr>
          <w:rFonts w:cs="Arial"/>
        </w:rPr>
        <w:t>and for London authorities from £120 to £155</w:t>
      </w:r>
      <w:r>
        <w:rPr>
          <w:rFonts w:cs="Arial"/>
        </w:rPr>
        <w:t xml:space="preserve"> per day</w:t>
      </w:r>
      <w:r>
        <w:rPr>
          <w:rFonts w:cs="Arial"/>
        </w:rPr>
        <w:t>.</w:t>
      </w:r>
    </w:p>
    <w:p w:rsidR="00F373F3" w:rsidRDefault="004E53A0" w:rsidP="00F43E25">
      <w:pPr>
        <w:pStyle w:val="ListParagraph"/>
        <w:numPr>
          <w:ilvl w:val="0"/>
          <w:numId w:val="7"/>
        </w:numPr>
        <w:spacing w:after="0"/>
        <w:rPr>
          <w:rFonts w:cs="Arial"/>
        </w:rPr>
      </w:pPr>
      <w:r>
        <w:rPr>
          <w:rFonts w:cs="Arial"/>
        </w:rPr>
        <w:t xml:space="preserve">The updated </w:t>
      </w:r>
      <w:r>
        <w:rPr>
          <w:rFonts w:cs="Arial"/>
        </w:rPr>
        <w:t>regulations</w:t>
      </w:r>
      <w:r>
        <w:rPr>
          <w:rFonts w:cs="Arial"/>
        </w:rPr>
        <w:t xml:space="preserve"> require that the </w:t>
      </w:r>
      <w:r>
        <w:rPr>
          <w:rFonts w:cs="Arial"/>
        </w:rPr>
        <w:t>Assessment</w:t>
      </w:r>
      <w:r>
        <w:rPr>
          <w:rFonts w:cs="Arial"/>
        </w:rPr>
        <w:t xml:space="preserve"> and </w:t>
      </w:r>
      <w:r>
        <w:rPr>
          <w:rFonts w:cs="Arial"/>
        </w:rPr>
        <w:t>Discharge</w:t>
      </w:r>
      <w:r>
        <w:rPr>
          <w:rFonts w:cs="Arial"/>
        </w:rPr>
        <w:t xml:space="preserve"> notices include </w:t>
      </w:r>
      <w:r>
        <w:rPr>
          <w:rFonts w:cs="Arial"/>
        </w:rPr>
        <w:t>the</w:t>
      </w:r>
      <w:r>
        <w:rPr>
          <w:rFonts w:cs="Arial"/>
        </w:rPr>
        <w:t xml:space="preserve"> patient's NHS numb</w:t>
      </w:r>
      <w:r>
        <w:rPr>
          <w:rFonts w:cs="Arial"/>
        </w:rPr>
        <w:t>er. In addition, to</w:t>
      </w:r>
      <w:r>
        <w:rPr>
          <w:rFonts w:cs="Arial"/>
        </w:rPr>
        <w:t xml:space="preserve"> facilitate </w:t>
      </w:r>
      <w:r>
        <w:rPr>
          <w:rFonts w:cs="Arial"/>
        </w:rPr>
        <w:t>effective</w:t>
      </w:r>
      <w:r>
        <w:rPr>
          <w:rFonts w:cs="Arial"/>
        </w:rPr>
        <w:t xml:space="preserve"> joint working relationship between the NHS organisation and the Local Authority, the contact details (i.e. email address or telephone number) of the person at the hospital who will be responsible for liaising with the Local </w:t>
      </w:r>
      <w:r>
        <w:rPr>
          <w:rFonts w:cs="Arial"/>
        </w:rPr>
        <w:t>Authority</w:t>
      </w:r>
      <w:r>
        <w:rPr>
          <w:rFonts w:cs="Arial"/>
        </w:rPr>
        <w:t xml:space="preserve"> </w:t>
      </w:r>
      <w:r>
        <w:rPr>
          <w:rFonts w:cs="Arial"/>
        </w:rPr>
        <w:t>will also be required for these notices.</w:t>
      </w:r>
    </w:p>
    <w:p w:rsidR="00263223" w:rsidRDefault="004E53A0" w:rsidP="00263223">
      <w:pPr>
        <w:spacing w:after="0"/>
        <w:rPr>
          <w:rFonts w:cs="Arial"/>
        </w:rPr>
      </w:pPr>
    </w:p>
    <w:p w:rsidR="00263223" w:rsidRDefault="004E53A0" w:rsidP="00263223">
      <w:pPr>
        <w:spacing w:after="0"/>
        <w:rPr>
          <w:rFonts w:cs="Arial"/>
        </w:rPr>
      </w:pPr>
      <w:r>
        <w:rPr>
          <w:rFonts w:cs="Arial"/>
        </w:rPr>
        <w:t xml:space="preserve">These regulations require that a locally agreed protocol is developed between the NHS acute hospital trust and Local Authorities which allows NHS staff to identify those likely to need care and support on </w:t>
      </w:r>
      <w:r>
        <w:rPr>
          <w:rFonts w:cs="Arial"/>
        </w:rPr>
        <w:t>discharge. Protocols should provide help and advice as to when a patient should be considered to have possible care and support needs, in order to ensure the NHS issue assessment notices appropriately and that individual</w:t>
      </w:r>
      <w:r>
        <w:rPr>
          <w:rFonts w:cs="Arial"/>
        </w:rPr>
        <w:t>'s</w:t>
      </w:r>
      <w:r>
        <w:rPr>
          <w:rFonts w:cs="Arial"/>
        </w:rPr>
        <w:t xml:space="preserve"> needs are assessed.</w:t>
      </w:r>
    </w:p>
    <w:p w:rsidR="00FC75FA" w:rsidRDefault="004E53A0" w:rsidP="00FC75FA">
      <w:pPr>
        <w:spacing w:after="0"/>
        <w:rPr>
          <w:rFonts w:cs="Arial"/>
        </w:rPr>
      </w:pPr>
      <w:r w:rsidRPr="006F2C61">
        <w:rPr>
          <w:rFonts w:cs="Arial"/>
        </w:rPr>
        <w:t>Lancashire Co</w:t>
      </w:r>
      <w:r w:rsidRPr="006F2C61">
        <w:rPr>
          <w:rFonts w:cs="Arial"/>
        </w:rPr>
        <w:t>unty Council's local Protocols are currently being developed with health colleagues and will be available as soon as possible.</w:t>
      </w:r>
    </w:p>
    <w:p w:rsidR="00FC75FA" w:rsidRDefault="004E53A0" w:rsidP="00263223">
      <w:pPr>
        <w:spacing w:after="0"/>
        <w:rPr>
          <w:rFonts w:cs="Arial"/>
        </w:rPr>
      </w:pPr>
    </w:p>
    <w:p w:rsidR="00263223" w:rsidRPr="00263223" w:rsidRDefault="004E53A0" w:rsidP="00263223">
      <w:pPr>
        <w:spacing w:after="0"/>
        <w:rPr>
          <w:rFonts w:cs="Arial"/>
        </w:rPr>
      </w:pPr>
      <w:r>
        <w:rPr>
          <w:rFonts w:cs="Arial"/>
        </w:rPr>
        <w:t>This policy presents the regulations that will need to be reflected in local protocols.</w:t>
      </w:r>
    </w:p>
    <w:p w:rsidR="007F1F28" w:rsidRDefault="004E53A0" w:rsidP="00F30427">
      <w:pPr>
        <w:spacing w:after="0"/>
        <w:rPr>
          <w:rFonts w:cs="Arial"/>
        </w:rPr>
      </w:pPr>
    </w:p>
    <w:p w:rsidR="00786347" w:rsidRPr="00876056" w:rsidRDefault="004E53A0" w:rsidP="00786347">
      <w:pPr>
        <w:rPr>
          <w:rFonts w:cs="Arial"/>
          <w:i/>
        </w:rPr>
      </w:pPr>
      <w:r w:rsidRPr="00876056">
        <w:rPr>
          <w:rFonts w:cs="Arial"/>
          <w:i/>
        </w:rPr>
        <w:t>Therefore to fulfil its duty under sect</w:t>
      </w:r>
      <w:r w:rsidRPr="00876056">
        <w:rPr>
          <w:rFonts w:cs="Arial"/>
          <w:i/>
        </w:rPr>
        <w:t xml:space="preserve">ion 3 of the Care Act, the Council will, working with its statutory, voluntary and private sector partners, comply with the national threshold relating to care and support that is relevant, coherent, timely and sufficient.  </w:t>
      </w:r>
    </w:p>
    <w:p w:rsidR="00786347" w:rsidRPr="00876056" w:rsidRDefault="004E53A0" w:rsidP="00786347">
      <w:pPr>
        <w:rPr>
          <w:rFonts w:cs="Arial"/>
          <w:i/>
        </w:rPr>
      </w:pPr>
      <w:r w:rsidRPr="00876056">
        <w:rPr>
          <w:rFonts w:cs="Arial"/>
          <w:i/>
        </w:rPr>
        <w:t>The Council will make all reaso</w:t>
      </w:r>
      <w:r w:rsidRPr="00876056">
        <w:rPr>
          <w:rFonts w:cs="Arial"/>
          <w:i/>
        </w:rPr>
        <w:t>nable adjustments to ensure that all disabled people have equal access to participate in the eligibility decision in line with the Equality Act 2010.</w:t>
      </w:r>
    </w:p>
    <w:p w:rsidR="00786347" w:rsidRPr="00876056" w:rsidRDefault="004E53A0" w:rsidP="00786347">
      <w:pPr>
        <w:rPr>
          <w:rFonts w:cs="Arial"/>
          <w:i/>
        </w:rPr>
      </w:pPr>
      <w:r w:rsidRPr="00876056">
        <w:rPr>
          <w:rFonts w:cs="Arial"/>
          <w:i/>
        </w:rPr>
        <w:t xml:space="preserve">The geography and population of Lancashire is diverse and our </w:t>
      </w:r>
      <w:r>
        <w:rPr>
          <w:rFonts w:cs="Arial"/>
          <w:i/>
        </w:rPr>
        <w:t>p</w:t>
      </w:r>
      <w:r w:rsidRPr="00876056">
        <w:rPr>
          <w:rFonts w:cs="Arial"/>
          <w:i/>
        </w:rPr>
        <w:t>olicies and practice will aim to deliver se</w:t>
      </w:r>
      <w:r w:rsidRPr="00876056">
        <w:rPr>
          <w:rFonts w:cs="Arial"/>
          <w:i/>
        </w:rPr>
        <w:t>rvices and supports that are representative of the communities in which we work.</w:t>
      </w:r>
    </w:p>
    <w:p w:rsidR="00B050E0" w:rsidRDefault="004E53A0" w:rsidP="00743E0E">
      <w:r w:rsidRPr="00876056">
        <w:rPr>
          <w:rFonts w:cs="Arial"/>
          <w:i/>
        </w:rPr>
        <w:t>The Council will follow relevant legislation, policies and guidance to ensure our practice is of high quality and legally compliant.  Where our customers or those we come into</w:t>
      </w:r>
      <w:r w:rsidRPr="00876056">
        <w:rPr>
          <w:rFonts w:cs="Arial"/>
          <w:i/>
        </w:rPr>
        <w:t xml:space="preserve"> contact with wish to challenge or raise concerns in regard to our decisions, regarding eligibility the Council's complaints procedures will be made available and accessible.</w:t>
      </w:r>
    </w:p>
    <w:p w:rsidR="0003334A" w:rsidRDefault="004E53A0" w:rsidP="00EC302F">
      <w:pPr>
        <w:pStyle w:val="Heading1"/>
        <w:spacing w:before="0" w:after="0"/>
        <w:rPr>
          <w:sz w:val="28"/>
        </w:rPr>
      </w:pPr>
      <w:bookmarkStart w:id="8" w:name="_Toc426987061"/>
      <w:r>
        <w:rPr>
          <w:sz w:val="28"/>
        </w:rPr>
        <w:t>2</w:t>
      </w:r>
      <w:r>
        <w:rPr>
          <w:sz w:val="28"/>
        </w:rPr>
        <w:t>.</w:t>
      </w:r>
      <w:r>
        <w:rPr>
          <w:sz w:val="28"/>
        </w:rPr>
        <w:tab/>
      </w:r>
      <w:r w:rsidRPr="00684C88">
        <w:rPr>
          <w:sz w:val="28"/>
        </w:rPr>
        <w:t xml:space="preserve">KEY DEFINITIONS AND PRINCIPLES </w:t>
      </w:r>
      <w:bookmarkEnd w:id="8"/>
    </w:p>
    <w:p w:rsidR="00263223" w:rsidRDefault="004E53A0" w:rsidP="00263223">
      <w:pPr>
        <w:pStyle w:val="ListParagraph"/>
        <w:rPr>
          <w:lang w:eastAsia="en-GB"/>
        </w:rPr>
      </w:pPr>
    </w:p>
    <w:p w:rsidR="00263223" w:rsidRDefault="004E53A0" w:rsidP="00263223">
      <w:pPr>
        <w:pStyle w:val="ListParagraph"/>
        <w:ind w:left="0"/>
        <w:rPr>
          <w:b/>
          <w:lang w:eastAsia="en-GB"/>
        </w:rPr>
      </w:pPr>
      <w:r w:rsidRPr="00263223">
        <w:rPr>
          <w:b/>
          <w:lang w:eastAsia="en-GB"/>
        </w:rPr>
        <w:t xml:space="preserve">2.1 </w:t>
      </w:r>
      <w:r w:rsidR="00743E0E">
        <w:rPr>
          <w:b/>
          <w:lang w:eastAsia="en-GB"/>
        </w:rPr>
        <w:tab/>
      </w:r>
      <w:r w:rsidRPr="00263223">
        <w:rPr>
          <w:b/>
          <w:lang w:eastAsia="en-GB"/>
        </w:rPr>
        <w:t>Care and Support</w:t>
      </w:r>
    </w:p>
    <w:p w:rsidR="00743E0E" w:rsidRPr="00263223" w:rsidRDefault="00743E0E" w:rsidP="00263223">
      <w:pPr>
        <w:pStyle w:val="ListParagraph"/>
        <w:ind w:left="0"/>
        <w:rPr>
          <w:b/>
          <w:lang w:eastAsia="en-GB"/>
        </w:rPr>
      </w:pPr>
    </w:p>
    <w:p w:rsidR="00263223" w:rsidRDefault="004E53A0" w:rsidP="00743E0E">
      <w:pPr>
        <w:pStyle w:val="ListParagraph"/>
        <w:rPr>
          <w:lang w:eastAsia="en-GB"/>
        </w:rPr>
      </w:pPr>
      <w:r>
        <w:rPr>
          <w:lang w:eastAsia="en-GB"/>
        </w:rPr>
        <w:t xml:space="preserve">Care and Support is </w:t>
      </w:r>
      <w:r>
        <w:rPr>
          <w:lang w:eastAsia="en-GB"/>
        </w:rPr>
        <w:t>the term used to describe the help some adults need to live as well as possible with any illness or disability they may have.</w:t>
      </w:r>
    </w:p>
    <w:p w:rsidR="00263223" w:rsidRDefault="004E53A0" w:rsidP="00263223">
      <w:pPr>
        <w:pStyle w:val="ListParagraph"/>
        <w:ind w:left="0"/>
        <w:rPr>
          <w:lang w:eastAsia="en-GB"/>
        </w:rPr>
      </w:pPr>
    </w:p>
    <w:p w:rsidR="00263223" w:rsidRDefault="004E53A0" w:rsidP="00263223">
      <w:pPr>
        <w:pStyle w:val="ListParagraph"/>
        <w:ind w:left="0"/>
        <w:rPr>
          <w:b/>
          <w:lang w:eastAsia="en-GB"/>
        </w:rPr>
      </w:pPr>
      <w:r w:rsidRPr="00263223">
        <w:rPr>
          <w:b/>
          <w:lang w:eastAsia="en-GB"/>
        </w:rPr>
        <w:t>2.2</w:t>
      </w:r>
      <w:r w:rsidR="00743E0E">
        <w:rPr>
          <w:b/>
          <w:lang w:eastAsia="en-GB"/>
        </w:rPr>
        <w:tab/>
      </w:r>
      <w:r w:rsidRPr="00263223">
        <w:rPr>
          <w:b/>
          <w:lang w:eastAsia="en-GB"/>
        </w:rPr>
        <w:t xml:space="preserve">Delayed </w:t>
      </w:r>
      <w:r>
        <w:rPr>
          <w:b/>
          <w:lang w:eastAsia="en-GB"/>
        </w:rPr>
        <w:t>Transfers of Care from hospital</w:t>
      </w:r>
    </w:p>
    <w:p w:rsidR="00743E0E" w:rsidRPr="00263223" w:rsidRDefault="00743E0E" w:rsidP="00263223">
      <w:pPr>
        <w:pStyle w:val="ListParagraph"/>
        <w:ind w:left="0"/>
        <w:rPr>
          <w:b/>
          <w:lang w:eastAsia="en-GB"/>
        </w:rPr>
      </w:pPr>
    </w:p>
    <w:p w:rsidR="00263223" w:rsidRDefault="004E53A0" w:rsidP="00743E0E">
      <w:pPr>
        <w:pStyle w:val="ListParagraph"/>
        <w:rPr>
          <w:lang w:eastAsia="en-GB"/>
        </w:rPr>
      </w:pPr>
      <w:r>
        <w:rPr>
          <w:lang w:eastAsia="en-GB"/>
        </w:rPr>
        <w:t>Delayed Discharge is the term that applies to circumstances where a patient has not b</w:t>
      </w:r>
      <w:r>
        <w:rPr>
          <w:lang w:eastAsia="en-GB"/>
        </w:rPr>
        <w:t>een discharged from hospital within prescribed timescales for putting in place arrangements necessary for meeting any of the patient's care and support needs or where applicable the carer's needs.</w:t>
      </w:r>
    </w:p>
    <w:p w:rsidR="00263223" w:rsidRDefault="004E53A0" w:rsidP="00263223">
      <w:pPr>
        <w:pStyle w:val="ListParagraph"/>
        <w:ind w:left="0"/>
        <w:rPr>
          <w:lang w:eastAsia="en-GB"/>
        </w:rPr>
      </w:pPr>
    </w:p>
    <w:p w:rsidR="00263223" w:rsidRDefault="004E53A0" w:rsidP="00263223">
      <w:pPr>
        <w:pStyle w:val="ListParagraph"/>
        <w:ind w:left="0"/>
        <w:rPr>
          <w:b/>
          <w:lang w:eastAsia="en-GB"/>
        </w:rPr>
      </w:pPr>
      <w:r w:rsidRPr="00263223">
        <w:rPr>
          <w:b/>
          <w:lang w:eastAsia="en-GB"/>
        </w:rPr>
        <w:t>2.3</w:t>
      </w:r>
      <w:r w:rsidR="00743E0E">
        <w:rPr>
          <w:b/>
          <w:lang w:eastAsia="en-GB"/>
        </w:rPr>
        <w:tab/>
      </w:r>
      <w:r w:rsidRPr="00263223">
        <w:rPr>
          <w:b/>
          <w:lang w:eastAsia="en-GB"/>
        </w:rPr>
        <w:t>Continuing Health Care</w:t>
      </w:r>
    </w:p>
    <w:p w:rsidR="00743E0E" w:rsidRPr="00263223" w:rsidRDefault="00743E0E" w:rsidP="00263223">
      <w:pPr>
        <w:pStyle w:val="ListParagraph"/>
        <w:ind w:left="0"/>
        <w:rPr>
          <w:b/>
          <w:lang w:eastAsia="en-GB"/>
        </w:rPr>
      </w:pPr>
    </w:p>
    <w:p w:rsidR="00263223" w:rsidRPr="00263223" w:rsidRDefault="004E53A0" w:rsidP="00743E0E">
      <w:pPr>
        <w:pStyle w:val="ListParagraph"/>
        <w:rPr>
          <w:lang w:eastAsia="en-GB"/>
        </w:rPr>
      </w:pPr>
      <w:r>
        <w:rPr>
          <w:lang w:eastAsia="en-GB"/>
        </w:rPr>
        <w:t xml:space="preserve">Continuing Health Care is a </w:t>
      </w:r>
      <w:hyperlink r:id="rId15" w:history="1">
        <w:r w:rsidRPr="00C841FE">
          <w:rPr>
            <w:rStyle w:val="Hyperlink"/>
            <w:rFonts w:cs="Helvetica-Light"/>
            <w:lang w:eastAsia="en-GB"/>
          </w:rPr>
          <w:t>national framework</w:t>
        </w:r>
      </w:hyperlink>
      <w:r>
        <w:rPr>
          <w:lang w:eastAsia="en-GB"/>
        </w:rPr>
        <w:t xml:space="preserve"> of entitlement to on-going NHS funded healthcare for those with an agreed primary health need.</w:t>
      </w:r>
    </w:p>
    <w:p w:rsidR="00EC302F" w:rsidRDefault="004E53A0" w:rsidP="00EC302F">
      <w:pPr>
        <w:spacing w:after="0"/>
        <w:rPr>
          <w:lang w:eastAsia="en-GB"/>
        </w:rPr>
      </w:pPr>
    </w:p>
    <w:p w:rsidR="0003334A" w:rsidRDefault="004E53A0" w:rsidP="005F7E10">
      <w:pPr>
        <w:pStyle w:val="Heading1"/>
        <w:rPr>
          <w:sz w:val="28"/>
        </w:rPr>
      </w:pPr>
      <w:bookmarkStart w:id="9" w:name="_Toc426987062"/>
      <w:r>
        <w:rPr>
          <w:sz w:val="28"/>
        </w:rPr>
        <w:t>3.</w:t>
      </w:r>
      <w:r>
        <w:rPr>
          <w:sz w:val="28"/>
        </w:rPr>
        <w:tab/>
      </w:r>
      <w:r>
        <w:rPr>
          <w:sz w:val="28"/>
        </w:rPr>
        <w:t xml:space="preserve">PROCEDURES </w:t>
      </w:r>
    </w:p>
    <w:p w:rsidR="00CE29AF" w:rsidRDefault="004E53A0" w:rsidP="00CE29AF">
      <w:pPr>
        <w:rPr>
          <w:lang w:eastAsia="en-GB"/>
        </w:rPr>
      </w:pPr>
      <w:r>
        <w:rPr>
          <w:lang w:eastAsia="en-GB"/>
        </w:rPr>
        <w:t xml:space="preserve">This policy sets out the regulations that apply to the process of managing the hospital discharge </w:t>
      </w:r>
      <w:r>
        <w:rPr>
          <w:lang w:eastAsia="en-GB"/>
        </w:rPr>
        <w:t>pathway</w:t>
      </w:r>
      <w:r>
        <w:rPr>
          <w:lang w:eastAsia="en-GB"/>
        </w:rPr>
        <w:t xml:space="preserve"> for implementation by the acute NHS trust </w:t>
      </w:r>
      <w:r>
        <w:rPr>
          <w:lang w:eastAsia="en-GB"/>
        </w:rPr>
        <w:t xml:space="preserve">from </w:t>
      </w:r>
      <w:r>
        <w:rPr>
          <w:lang w:eastAsia="en-GB"/>
        </w:rPr>
        <w:t>which the adult is being discharged</w:t>
      </w:r>
      <w:r>
        <w:rPr>
          <w:lang w:eastAsia="en-GB"/>
        </w:rPr>
        <w:t>,</w:t>
      </w:r>
      <w:r>
        <w:rPr>
          <w:lang w:eastAsia="en-GB"/>
        </w:rPr>
        <w:t xml:space="preserve"> and for the Local Authority staff undertaking an </w:t>
      </w:r>
      <w:hyperlink r:id="rId16" w:history="1">
        <w:r w:rsidRPr="00686782">
          <w:rPr>
            <w:rStyle w:val="Hyperlink"/>
            <w:rFonts w:cs="Helvetica-Light"/>
            <w:lang w:eastAsia="en-GB"/>
          </w:rPr>
          <w:t>assessment of need</w:t>
        </w:r>
      </w:hyperlink>
      <w:r>
        <w:rPr>
          <w:lang w:eastAsia="en-GB"/>
        </w:rPr>
        <w:t>.</w:t>
      </w:r>
    </w:p>
    <w:p w:rsidR="004E28ED" w:rsidRPr="006F2C61" w:rsidRDefault="004E53A0" w:rsidP="00CE29AF">
      <w:pPr>
        <w:rPr>
          <w:lang w:eastAsia="en-GB"/>
        </w:rPr>
      </w:pPr>
      <w:r w:rsidRPr="006F2C61">
        <w:rPr>
          <w:lang w:eastAsia="en-GB"/>
        </w:rPr>
        <w:t xml:space="preserve">Lancashire County Council has a Duty, where the person meets </w:t>
      </w:r>
      <w:hyperlink r:id="rId17" w:history="1">
        <w:r w:rsidRPr="006F2C61">
          <w:rPr>
            <w:rStyle w:val="Hyperlink"/>
            <w:rFonts w:cs="Helvetica-Light"/>
            <w:lang w:eastAsia="en-GB"/>
          </w:rPr>
          <w:t>eligibilit</w:t>
        </w:r>
        <w:r w:rsidRPr="006F2C61">
          <w:rPr>
            <w:rStyle w:val="Hyperlink"/>
            <w:rFonts w:cs="Helvetica-Light"/>
            <w:lang w:eastAsia="en-GB"/>
          </w:rPr>
          <w:t>y criteria</w:t>
        </w:r>
      </w:hyperlink>
      <w:r w:rsidRPr="006F2C61">
        <w:rPr>
          <w:color w:val="auto"/>
          <w:lang w:eastAsia="en-GB"/>
        </w:rPr>
        <w:t>,</w:t>
      </w:r>
      <w:r w:rsidRPr="006F2C61">
        <w:rPr>
          <w:lang w:eastAsia="en-GB"/>
        </w:rPr>
        <w:t xml:space="preserve"> to meet the needs of a person being discharged from hospital.</w:t>
      </w:r>
    </w:p>
    <w:p w:rsidR="004E28ED" w:rsidRDefault="004E53A0" w:rsidP="00CE29AF">
      <w:pPr>
        <w:rPr>
          <w:lang w:eastAsia="en-GB"/>
        </w:rPr>
      </w:pPr>
      <w:r w:rsidRPr="006F2C61">
        <w:rPr>
          <w:lang w:eastAsia="en-GB"/>
        </w:rPr>
        <w:t>People should be discharged from hospital at the right time, to the right place and in the right way – whether that is to their own home or a community or care home setting. Lancashire County Council will work closely with health partners to ensure this ha</w:t>
      </w:r>
      <w:r w:rsidRPr="006F2C61">
        <w:rPr>
          <w:lang w:eastAsia="en-GB"/>
        </w:rPr>
        <w:t xml:space="preserve">ppens swiftly, through the </w:t>
      </w:r>
      <w:hyperlink r:id="rId18" w:history="1">
        <w:r w:rsidRPr="006F2C61">
          <w:rPr>
            <w:rStyle w:val="Hyperlink"/>
            <w:rFonts w:cs="Helvetica-Light"/>
            <w:lang w:eastAsia="en-GB"/>
          </w:rPr>
          <w:t>Needs Assessment Process</w:t>
        </w:r>
      </w:hyperlink>
      <w:r w:rsidRPr="006F2C61">
        <w:rPr>
          <w:lang w:eastAsia="en-GB"/>
        </w:rPr>
        <w:t xml:space="preserve"> supporting the person being discharged, to help keep them as well and as independent as possible.</w:t>
      </w:r>
    </w:p>
    <w:p w:rsidR="00F30427" w:rsidRDefault="004E53A0" w:rsidP="00F30427">
      <w:pPr>
        <w:rPr>
          <w:lang w:eastAsia="en-GB"/>
        </w:rPr>
      </w:pPr>
      <w:r>
        <w:rPr>
          <w:lang w:eastAsia="en-GB"/>
        </w:rPr>
        <w:t>Lancashire County Co</w:t>
      </w:r>
      <w:r>
        <w:rPr>
          <w:lang w:eastAsia="en-GB"/>
        </w:rPr>
        <w:t>uncil</w:t>
      </w:r>
      <w:r>
        <w:rPr>
          <w:lang w:eastAsia="en-GB"/>
        </w:rPr>
        <w:t xml:space="preserve"> (LCC)</w:t>
      </w:r>
      <w:r>
        <w:rPr>
          <w:lang w:eastAsia="en-GB"/>
        </w:rPr>
        <w:t xml:space="preserve"> operates a series of integrated </w:t>
      </w:r>
      <w:r>
        <w:rPr>
          <w:lang w:eastAsia="en-GB"/>
        </w:rPr>
        <w:t xml:space="preserve">discharge pathways and arrangements in partnership with the NHS, which </w:t>
      </w:r>
      <w:r>
        <w:rPr>
          <w:lang w:eastAsia="en-GB"/>
        </w:rPr>
        <w:t>also establishes</w:t>
      </w:r>
      <w:r>
        <w:rPr>
          <w:lang w:eastAsia="en-GB"/>
        </w:rPr>
        <w:t xml:space="preserve"> clear connections with wider partners in housing, criminal justice, education and public health</w:t>
      </w:r>
      <w:r>
        <w:rPr>
          <w:lang w:eastAsia="en-GB"/>
        </w:rPr>
        <w:t xml:space="preserve"> to facilitate the discharge </w:t>
      </w:r>
      <w:r>
        <w:rPr>
          <w:lang w:eastAsia="en-GB"/>
        </w:rPr>
        <w:t>arrangements most appropriate to the individual's assessed needs</w:t>
      </w:r>
      <w:r>
        <w:rPr>
          <w:lang w:eastAsia="en-GB"/>
        </w:rPr>
        <w:t>.</w:t>
      </w:r>
      <w:r>
        <w:rPr>
          <w:lang w:eastAsia="en-GB"/>
        </w:rPr>
        <w:t xml:space="preserve"> </w:t>
      </w:r>
    </w:p>
    <w:p w:rsidR="00F81892" w:rsidRDefault="004E53A0" w:rsidP="00F30427">
      <w:pPr>
        <w:rPr>
          <w:lang w:eastAsia="en-GB"/>
        </w:rPr>
      </w:pPr>
      <w:r>
        <w:rPr>
          <w:lang w:eastAsia="en-GB"/>
        </w:rPr>
        <w:t>Within a range of intermediate care services, LCC operate a 'Trusted Assessment' pathway which enables (mainly NHS) partners to undertake one assessment and access the most appropriate enab</w:t>
      </w:r>
      <w:r>
        <w:rPr>
          <w:lang w:eastAsia="en-GB"/>
        </w:rPr>
        <w:t>ling and promoting independence service</w:t>
      </w:r>
      <w:r>
        <w:rPr>
          <w:lang w:eastAsia="en-GB"/>
        </w:rPr>
        <w:t xml:space="preserve"> for the person. </w:t>
      </w:r>
    </w:p>
    <w:p w:rsidR="0069794E" w:rsidRDefault="004E53A0" w:rsidP="00F30427">
      <w:pPr>
        <w:rPr>
          <w:lang w:eastAsia="en-GB"/>
        </w:rPr>
      </w:pPr>
      <w:r>
        <w:rPr>
          <w:lang w:eastAsia="en-GB"/>
        </w:rPr>
        <w:t>Operational partners will ensure that Statutory Guidance is reflected and implemented throughout the pathways that they put in place to implement safe and effective discha</w:t>
      </w:r>
      <w:r>
        <w:rPr>
          <w:lang w:eastAsia="en-GB"/>
        </w:rPr>
        <w:t>rg</w:t>
      </w:r>
      <w:r>
        <w:rPr>
          <w:lang w:eastAsia="en-GB"/>
        </w:rPr>
        <w:t>e of the individual from h</w:t>
      </w:r>
      <w:r>
        <w:rPr>
          <w:lang w:eastAsia="en-GB"/>
        </w:rPr>
        <w:t>ospital. In addition, operational partners will provide st</w:t>
      </w:r>
      <w:r>
        <w:rPr>
          <w:lang w:eastAsia="en-GB"/>
        </w:rPr>
        <w:t>aff with the</w:t>
      </w:r>
      <w:r>
        <w:rPr>
          <w:lang w:eastAsia="en-GB"/>
        </w:rPr>
        <w:t xml:space="preserve"> standardised operating proce</w:t>
      </w:r>
      <w:r>
        <w:rPr>
          <w:lang w:eastAsia="en-GB"/>
        </w:rPr>
        <w:t>dures</w:t>
      </w:r>
      <w:r>
        <w:rPr>
          <w:lang w:eastAsia="en-GB"/>
        </w:rPr>
        <w:t xml:space="preserve"> and guidance to ensure that national guidance is reflected in operational practice.</w:t>
      </w:r>
      <w:r>
        <w:rPr>
          <w:lang w:eastAsia="en-GB"/>
        </w:rPr>
        <w:t xml:space="preserve"> </w:t>
      </w:r>
    </w:p>
    <w:p w:rsidR="006F15DA" w:rsidRDefault="004E53A0" w:rsidP="00F30427">
      <w:pPr>
        <w:rPr>
          <w:lang w:eastAsia="en-GB"/>
        </w:rPr>
      </w:pPr>
    </w:p>
    <w:p w:rsidR="00B143A4" w:rsidRPr="00B143A4" w:rsidRDefault="004E53A0" w:rsidP="00F30427">
      <w:pPr>
        <w:rPr>
          <w:b/>
          <w:lang w:eastAsia="en-GB"/>
        </w:rPr>
      </w:pPr>
      <w:r w:rsidRPr="00B143A4">
        <w:rPr>
          <w:b/>
          <w:lang w:eastAsia="en-GB"/>
        </w:rPr>
        <w:t xml:space="preserve">3.1 </w:t>
      </w:r>
      <w:r>
        <w:rPr>
          <w:b/>
          <w:lang w:eastAsia="en-GB"/>
        </w:rPr>
        <w:t>M</w:t>
      </w:r>
      <w:r w:rsidRPr="00B143A4">
        <w:rPr>
          <w:b/>
          <w:lang w:eastAsia="en-GB"/>
        </w:rPr>
        <w:t>an</w:t>
      </w:r>
      <w:r>
        <w:rPr>
          <w:b/>
          <w:lang w:eastAsia="en-GB"/>
        </w:rPr>
        <w:t>a</w:t>
      </w:r>
      <w:r w:rsidRPr="00B143A4">
        <w:rPr>
          <w:b/>
          <w:lang w:eastAsia="en-GB"/>
        </w:rPr>
        <w:t>ging Transfers of Care</w:t>
      </w:r>
    </w:p>
    <w:p w:rsidR="00B143A4" w:rsidRDefault="004E53A0" w:rsidP="00F30427">
      <w:pPr>
        <w:rPr>
          <w:lang w:eastAsia="en-GB"/>
        </w:rPr>
      </w:pPr>
      <w:r>
        <w:rPr>
          <w:lang w:eastAsia="en-GB"/>
        </w:rPr>
        <w:t xml:space="preserve">Overview of the requirements of </w:t>
      </w:r>
      <w:r>
        <w:rPr>
          <w:lang w:eastAsia="en-GB"/>
        </w:rPr>
        <w:t>the regulations</w:t>
      </w:r>
      <w:r>
        <w:rPr>
          <w:lang w:eastAsia="en-GB"/>
        </w:rPr>
        <w:t>:</w:t>
      </w:r>
    </w:p>
    <w:p w:rsidR="00B143A4" w:rsidRDefault="004E53A0" w:rsidP="00F30427">
      <w:pPr>
        <w:rPr>
          <w:lang w:eastAsia="en-GB"/>
        </w:rPr>
      </w:pPr>
      <w:r>
        <w:rPr>
          <w:lang w:eastAsia="en-GB"/>
        </w:rPr>
        <w:t>The Care and Support (Discharge of hospital Patients) regulations 2014 set out:</w:t>
      </w:r>
    </w:p>
    <w:p w:rsidR="00B143A4" w:rsidRDefault="004E53A0" w:rsidP="00F43E25">
      <w:pPr>
        <w:pStyle w:val="ListParagraph"/>
        <w:numPr>
          <w:ilvl w:val="0"/>
          <w:numId w:val="8"/>
        </w:numPr>
        <w:rPr>
          <w:lang w:eastAsia="en-GB"/>
        </w:rPr>
      </w:pPr>
      <w:r>
        <w:rPr>
          <w:lang w:eastAsia="en-GB"/>
        </w:rPr>
        <w:t xml:space="preserve">The details of what the NHS body responsible for a relevant patient must include in the assessment notice that it issues, so that the Local Authority can then </w:t>
      </w:r>
      <w:r>
        <w:rPr>
          <w:lang w:eastAsia="en-GB"/>
        </w:rPr>
        <w:t>comply with its requirements to undertake assessments and out in place any arrangements necessary for meeting any of the patient's care and support needs or where applicable, the career's needs;</w:t>
      </w:r>
    </w:p>
    <w:p w:rsidR="00B143A4" w:rsidRDefault="004E53A0" w:rsidP="00F43E25">
      <w:pPr>
        <w:pStyle w:val="ListParagraph"/>
        <w:numPr>
          <w:ilvl w:val="0"/>
          <w:numId w:val="8"/>
        </w:numPr>
        <w:rPr>
          <w:lang w:eastAsia="en-GB"/>
        </w:rPr>
      </w:pPr>
      <w:r>
        <w:rPr>
          <w:lang w:eastAsia="en-GB"/>
        </w:rPr>
        <w:t xml:space="preserve">The minimum period that the Local authority has to undertake </w:t>
      </w:r>
      <w:r>
        <w:rPr>
          <w:lang w:eastAsia="en-GB"/>
        </w:rPr>
        <w:t>the assessment;</w:t>
      </w:r>
    </w:p>
    <w:p w:rsidR="00B143A4" w:rsidRDefault="004E53A0" w:rsidP="00F43E25">
      <w:pPr>
        <w:pStyle w:val="ListParagraph"/>
        <w:numPr>
          <w:ilvl w:val="0"/>
          <w:numId w:val="8"/>
        </w:numPr>
        <w:rPr>
          <w:lang w:eastAsia="en-GB"/>
        </w:rPr>
      </w:pPr>
      <w:r>
        <w:rPr>
          <w:lang w:eastAsia="en-GB"/>
        </w:rPr>
        <w:t>The details of what must be included in the discharge notice;</w:t>
      </w:r>
    </w:p>
    <w:p w:rsidR="00B143A4" w:rsidRDefault="004E53A0" w:rsidP="00F43E25">
      <w:pPr>
        <w:pStyle w:val="ListParagraph"/>
        <w:numPr>
          <w:ilvl w:val="0"/>
          <w:numId w:val="8"/>
        </w:numPr>
        <w:rPr>
          <w:lang w:eastAsia="en-GB"/>
        </w:rPr>
      </w:pPr>
      <w:r>
        <w:rPr>
          <w:lang w:eastAsia="en-GB"/>
        </w:rPr>
        <w:t>The minimum period of notice that the NHS must give the Local Authority in terms of a relevant patient's discharge;</w:t>
      </w:r>
    </w:p>
    <w:p w:rsidR="00B143A4" w:rsidRDefault="004E53A0" w:rsidP="00F43E25">
      <w:pPr>
        <w:pStyle w:val="ListParagraph"/>
        <w:numPr>
          <w:ilvl w:val="0"/>
          <w:numId w:val="8"/>
        </w:numPr>
        <w:rPr>
          <w:lang w:eastAsia="en-GB"/>
        </w:rPr>
      </w:pPr>
      <w:r>
        <w:rPr>
          <w:lang w:eastAsia="en-GB"/>
        </w:rPr>
        <w:t>The circumstances when an assessment notice and a discharge no</w:t>
      </w:r>
      <w:r>
        <w:rPr>
          <w:lang w:eastAsia="en-GB"/>
        </w:rPr>
        <w:t>tice must be withdrawn;</w:t>
      </w:r>
    </w:p>
    <w:p w:rsidR="00BF61A6" w:rsidRPr="00BF61A6" w:rsidRDefault="004E53A0" w:rsidP="00F43E25">
      <w:pPr>
        <w:pStyle w:val="ListParagraph"/>
        <w:numPr>
          <w:ilvl w:val="0"/>
          <w:numId w:val="8"/>
        </w:numPr>
        <w:rPr>
          <w:color w:val="FF0000"/>
        </w:rPr>
      </w:pPr>
      <w:r>
        <w:rPr>
          <w:lang w:eastAsia="en-GB"/>
        </w:rPr>
        <w:t>The period and amount of any reimbursement liability which a Local Authority may be required to pay the NHS for any delayed discharge.</w:t>
      </w:r>
    </w:p>
    <w:p w:rsidR="00E23E12" w:rsidRPr="00BF61A6" w:rsidRDefault="004E53A0" w:rsidP="00BF61A6">
      <w:pPr>
        <w:rPr>
          <w:b/>
          <w:color w:val="auto"/>
        </w:rPr>
      </w:pPr>
      <w:r w:rsidRPr="00BF61A6">
        <w:rPr>
          <w:b/>
          <w:color w:val="auto"/>
        </w:rPr>
        <w:t xml:space="preserve">3.2 </w:t>
      </w:r>
      <w:r w:rsidRPr="008567B3">
        <w:rPr>
          <w:b/>
          <w:i/>
          <w:color w:val="auto"/>
        </w:rPr>
        <w:t xml:space="preserve">Passport to </w:t>
      </w:r>
      <w:r w:rsidRPr="008567B3">
        <w:rPr>
          <w:b/>
          <w:i/>
          <w:color w:val="auto"/>
        </w:rPr>
        <w:t>I</w:t>
      </w:r>
      <w:r w:rsidRPr="008567B3">
        <w:rPr>
          <w:b/>
          <w:i/>
          <w:color w:val="auto"/>
        </w:rPr>
        <w:t>ndependence</w:t>
      </w:r>
      <w:r w:rsidRPr="00BF61A6">
        <w:rPr>
          <w:b/>
          <w:color w:val="auto"/>
        </w:rPr>
        <w:t xml:space="preserve"> ways of working for the Hospital Discharge Teams</w:t>
      </w:r>
    </w:p>
    <w:p w:rsidR="00172E10" w:rsidRDefault="004E53A0" w:rsidP="00BF61A6">
      <w:pPr>
        <w:rPr>
          <w:color w:val="auto"/>
        </w:rPr>
      </w:pPr>
      <w:r w:rsidRPr="00BF61A6">
        <w:rPr>
          <w:color w:val="auto"/>
        </w:rPr>
        <w:t xml:space="preserve">The </w:t>
      </w:r>
      <w:r w:rsidRPr="008567B3">
        <w:rPr>
          <w:i/>
          <w:color w:val="auto"/>
        </w:rPr>
        <w:t>P</w:t>
      </w:r>
      <w:r w:rsidRPr="008567B3">
        <w:rPr>
          <w:i/>
          <w:color w:val="auto"/>
        </w:rPr>
        <w:t xml:space="preserve">assport to </w:t>
      </w:r>
      <w:r w:rsidRPr="008567B3">
        <w:rPr>
          <w:i/>
          <w:color w:val="auto"/>
        </w:rPr>
        <w:t>I</w:t>
      </w:r>
      <w:r w:rsidRPr="008567B3">
        <w:rPr>
          <w:i/>
          <w:color w:val="auto"/>
        </w:rPr>
        <w:t>nd</w:t>
      </w:r>
      <w:r w:rsidRPr="008567B3">
        <w:rPr>
          <w:i/>
          <w:color w:val="auto"/>
        </w:rPr>
        <w:t>ependence</w:t>
      </w:r>
      <w:r w:rsidRPr="00BF61A6">
        <w:rPr>
          <w:color w:val="auto"/>
        </w:rPr>
        <w:t xml:space="preserve"> ways of working were designed, tested and introduced collaboratively by Lancashire County Council staff and partner agencies. </w:t>
      </w:r>
      <w:r w:rsidRPr="008567B3">
        <w:rPr>
          <w:i/>
          <w:color w:val="auto"/>
        </w:rPr>
        <w:t xml:space="preserve">Passport to </w:t>
      </w:r>
      <w:r w:rsidRPr="008567B3">
        <w:rPr>
          <w:i/>
          <w:color w:val="auto"/>
        </w:rPr>
        <w:t>I</w:t>
      </w:r>
      <w:r w:rsidRPr="008567B3">
        <w:rPr>
          <w:i/>
          <w:color w:val="auto"/>
        </w:rPr>
        <w:t>ndependence</w:t>
      </w:r>
      <w:r w:rsidRPr="00BF61A6">
        <w:rPr>
          <w:color w:val="auto"/>
        </w:rPr>
        <w:t xml:space="preserve"> introduced changes to the practice and processes across all the Hospital Discharge Teams aimed </w:t>
      </w:r>
      <w:r w:rsidRPr="00BF61A6">
        <w:rPr>
          <w:color w:val="auto"/>
        </w:rPr>
        <w:t>at achieving the Ideal Outcomes for the citizens of Lancashire. Ideal outcomes refer to best outcomes achieved through the consistent approach that practitioners adopt when working with the citizens of Lancashire to support decision making by utilising a s</w:t>
      </w:r>
      <w:r w:rsidRPr="00BF61A6">
        <w:rPr>
          <w:color w:val="auto"/>
        </w:rPr>
        <w:t xml:space="preserve">trength-based approach. </w:t>
      </w:r>
    </w:p>
    <w:p w:rsidR="00172E10" w:rsidRDefault="004E53A0" w:rsidP="00BF61A6">
      <w:pPr>
        <w:rPr>
          <w:color w:val="auto"/>
        </w:rPr>
      </w:pPr>
      <w:r w:rsidRPr="00BF61A6">
        <w:rPr>
          <w:color w:val="auto"/>
        </w:rPr>
        <w:t xml:space="preserve">The key </w:t>
      </w:r>
      <w:r w:rsidRPr="00E2690B">
        <w:rPr>
          <w:i/>
          <w:color w:val="auto"/>
        </w:rPr>
        <w:t>Passport to Independence</w:t>
      </w:r>
      <w:r>
        <w:rPr>
          <w:color w:val="auto"/>
        </w:rPr>
        <w:t xml:space="preserve"> </w:t>
      </w:r>
      <w:r w:rsidRPr="00BF61A6">
        <w:rPr>
          <w:color w:val="auto"/>
        </w:rPr>
        <w:t xml:space="preserve">Performance Indicators for the </w:t>
      </w:r>
      <w:r>
        <w:rPr>
          <w:color w:val="auto"/>
        </w:rPr>
        <w:t>hospital discharge teams</w:t>
      </w:r>
      <w:r w:rsidRPr="00BF61A6">
        <w:rPr>
          <w:color w:val="auto"/>
        </w:rPr>
        <w:t xml:space="preserve"> evidence the positive impact on a measurable parameter where an </w:t>
      </w:r>
      <w:r>
        <w:rPr>
          <w:color w:val="auto"/>
        </w:rPr>
        <w:t>I</w:t>
      </w:r>
      <w:r w:rsidRPr="00BF61A6">
        <w:rPr>
          <w:color w:val="auto"/>
        </w:rPr>
        <w:t xml:space="preserve">deal </w:t>
      </w:r>
      <w:r>
        <w:rPr>
          <w:color w:val="auto"/>
        </w:rPr>
        <w:t>O</w:t>
      </w:r>
      <w:r w:rsidRPr="00BF61A6">
        <w:rPr>
          <w:color w:val="auto"/>
        </w:rPr>
        <w:t xml:space="preserve">utcome has been achieved by the promoting independence ethos. Ideal </w:t>
      </w:r>
      <w:r>
        <w:rPr>
          <w:color w:val="auto"/>
        </w:rPr>
        <w:t>O</w:t>
      </w:r>
      <w:r w:rsidRPr="00BF61A6">
        <w:rPr>
          <w:color w:val="auto"/>
        </w:rPr>
        <w:t>ut</w:t>
      </w:r>
      <w:r w:rsidRPr="00BF61A6">
        <w:rPr>
          <w:color w:val="auto"/>
        </w:rPr>
        <w:t>comes are measured by</w:t>
      </w:r>
      <w:r>
        <w:rPr>
          <w:color w:val="auto"/>
        </w:rPr>
        <w:t xml:space="preserve"> the number of people who</w:t>
      </w:r>
      <w:r w:rsidRPr="00BF61A6">
        <w:rPr>
          <w:color w:val="auto"/>
        </w:rPr>
        <w:t xml:space="preserve">; </w:t>
      </w:r>
    </w:p>
    <w:p w:rsidR="00172E10" w:rsidRDefault="004E53A0" w:rsidP="00F43E25">
      <w:pPr>
        <w:pStyle w:val="ListParagraph"/>
        <w:numPr>
          <w:ilvl w:val="0"/>
          <w:numId w:val="9"/>
        </w:numPr>
        <w:rPr>
          <w:color w:val="auto"/>
        </w:rPr>
      </w:pPr>
      <w:r w:rsidRPr="00172E10">
        <w:rPr>
          <w:color w:val="auto"/>
        </w:rPr>
        <w:t xml:space="preserve">have avoided unnecessary residential care admission, </w:t>
      </w:r>
    </w:p>
    <w:p w:rsidR="00172E10" w:rsidRDefault="004E53A0" w:rsidP="00F43E25">
      <w:pPr>
        <w:pStyle w:val="ListParagraph"/>
        <w:numPr>
          <w:ilvl w:val="0"/>
          <w:numId w:val="9"/>
        </w:numPr>
        <w:rPr>
          <w:color w:val="auto"/>
        </w:rPr>
      </w:pPr>
      <w:r w:rsidRPr="00172E10">
        <w:rPr>
          <w:color w:val="auto"/>
        </w:rPr>
        <w:t xml:space="preserve">are accessing reablement on discharge from hospital, </w:t>
      </w:r>
      <w:r>
        <w:rPr>
          <w:color w:val="auto"/>
        </w:rPr>
        <w:t>and</w:t>
      </w:r>
    </w:p>
    <w:p w:rsidR="00E23E12" w:rsidRPr="00172E10" w:rsidRDefault="004E53A0" w:rsidP="00F43E25">
      <w:pPr>
        <w:pStyle w:val="ListParagraph"/>
        <w:numPr>
          <w:ilvl w:val="0"/>
          <w:numId w:val="9"/>
        </w:numPr>
        <w:rPr>
          <w:color w:val="auto"/>
        </w:rPr>
      </w:pPr>
      <w:proofErr w:type="gramStart"/>
      <w:r w:rsidRPr="00172E10">
        <w:rPr>
          <w:color w:val="auto"/>
        </w:rPr>
        <w:t>have</w:t>
      </w:r>
      <w:proofErr w:type="gramEnd"/>
      <w:r w:rsidRPr="00172E10">
        <w:rPr>
          <w:color w:val="auto"/>
        </w:rPr>
        <w:t xml:space="preserve"> been discharged from hospital with advice or with family support. </w:t>
      </w:r>
    </w:p>
    <w:p w:rsidR="00E23E12" w:rsidRPr="00172E10" w:rsidRDefault="004E53A0" w:rsidP="00172E10">
      <w:pPr>
        <w:rPr>
          <w:color w:val="auto"/>
        </w:rPr>
      </w:pPr>
      <w:r w:rsidRPr="00172E10">
        <w:rPr>
          <w:i/>
          <w:color w:val="auto"/>
        </w:rPr>
        <w:t xml:space="preserve">Passport to </w:t>
      </w:r>
      <w:r w:rsidRPr="00172E10">
        <w:rPr>
          <w:i/>
          <w:color w:val="auto"/>
        </w:rPr>
        <w:t>I</w:t>
      </w:r>
      <w:r w:rsidRPr="00172E10">
        <w:rPr>
          <w:i/>
          <w:color w:val="auto"/>
        </w:rPr>
        <w:t>ndependence</w:t>
      </w:r>
      <w:r w:rsidRPr="00172E10">
        <w:rPr>
          <w:color w:val="auto"/>
        </w:rPr>
        <w:t xml:space="preserve"> has enabled </w:t>
      </w:r>
      <w:r>
        <w:rPr>
          <w:color w:val="auto"/>
        </w:rPr>
        <w:t>H</w:t>
      </w:r>
      <w:r w:rsidRPr="00172E10">
        <w:rPr>
          <w:color w:val="auto"/>
        </w:rPr>
        <w:t xml:space="preserve">ospital </w:t>
      </w:r>
      <w:r>
        <w:rPr>
          <w:color w:val="auto"/>
        </w:rPr>
        <w:t>D</w:t>
      </w:r>
      <w:r w:rsidRPr="00172E10">
        <w:rPr>
          <w:color w:val="auto"/>
        </w:rPr>
        <w:t xml:space="preserve">ischarge </w:t>
      </w:r>
      <w:r>
        <w:rPr>
          <w:color w:val="auto"/>
        </w:rPr>
        <w:t>T</w:t>
      </w:r>
      <w:r w:rsidRPr="00172E10">
        <w:rPr>
          <w:color w:val="auto"/>
        </w:rPr>
        <w:t>eams to see</w:t>
      </w:r>
      <w:r>
        <w:rPr>
          <w:color w:val="auto"/>
        </w:rPr>
        <w:t>;</w:t>
      </w:r>
      <w:r w:rsidRPr="00172E10">
        <w:rPr>
          <w:color w:val="auto"/>
        </w:rPr>
        <w:t xml:space="preserve"> more service user</w:t>
      </w:r>
      <w:r>
        <w:rPr>
          <w:color w:val="auto"/>
        </w:rPr>
        <w:t>s</w:t>
      </w:r>
      <w:r>
        <w:rPr>
          <w:color w:val="auto"/>
        </w:rPr>
        <w:t>;</w:t>
      </w:r>
      <w:r>
        <w:rPr>
          <w:color w:val="auto"/>
        </w:rPr>
        <w:t xml:space="preserve"> </w:t>
      </w:r>
      <w:r>
        <w:rPr>
          <w:color w:val="auto"/>
        </w:rPr>
        <w:t xml:space="preserve">an </w:t>
      </w:r>
      <w:r>
        <w:rPr>
          <w:color w:val="auto"/>
        </w:rPr>
        <w:t>increase in the number of I</w:t>
      </w:r>
      <w:r w:rsidRPr="00172E10">
        <w:rPr>
          <w:color w:val="auto"/>
        </w:rPr>
        <w:t xml:space="preserve">deal </w:t>
      </w:r>
      <w:r>
        <w:rPr>
          <w:color w:val="auto"/>
        </w:rPr>
        <w:t>O</w:t>
      </w:r>
      <w:r w:rsidRPr="00172E10">
        <w:rPr>
          <w:color w:val="auto"/>
        </w:rPr>
        <w:t xml:space="preserve">utcomes and a reduction in costs to the </w:t>
      </w:r>
      <w:r>
        <w:rPr>
          <w:color w:val="auto"/>
        </w:rPr>
        <w:t>county council</w:t>
      </w:r>
      <w:r w:rsidRPr="00172E10">
        <w:rPr>
          <w:color w:val="auto"/>
        </w:rPr>
        <w:t xml:space="preserve">. The Hospital Discharge Teams in Lancashire </w:t>
      </w:r>
      <w:r>
        <w:rPr>
          <w:color w:val="auto"/>
        </w:rPr>
        <w:t>are working</w:t>
      </w:r>
      <w:r w:rsidRPr="00172E10">
        <w:rPr>
          <w:color w:val="auto"/>
        </w:rPr>
        <w:t xml:space="preserve"> with the NHS to create Integrated Discharge</w:t>
      </w:r>
      <w:r w:rsidRPr="00172E10">
        <w:rPr>
          <w:color w:val="auto"/>
        </w:rPr>
        <w:t xml:space="preserve"> Teams which </w:t>
      </w:r>
      <w:r>
        <w:rPr>
          <w:color w:val="auto"/>
        </w:rPr>
        <w:t xml:space="preserve">can </w:t>
      </w:r>
      <w:r w:rsidRPr="00172E10">
        <w:rPr>
          <w:color w:val="auto"/>
        </w:rPr>
        <w:t xml:space="preserve">reduce the duplication of assessments </w:t>
      </w:r>
      <w:r>
        <w:rPr>
          <w:color w:val="auto"/>
        </w:rPr>
        <w:t>through the use of</w:t>
      </w:r>
      <w:r w:rsidRPr="00172E10">
        <w:rPr>
          <w:color w:val="auto"/>
        </w:rPr>
        <w:t xml:space="preserve"> trusted assessors. </w:t>
      </w:r>
    </w:p>
    <w:p w:rsidR="00826452" w:rsidRPr="00B508C7" w:rsidRDefault="004E53A0" w:rsidP="00B508C7">
      <w:pPr>
        <w:rPr>
          <w:color w:val="auto"/>
        </w:rPr>
      </w:pPr>
      <w:r w:rsidRPr="00B508C7">
        <w:rPr>
          <w:color w:val="auto"/>
        </w:rPr>
        <w:t>Lancashire County Council in partnership arrangements with the Clinical Commissioning Groups have integrated the provision of services to service users leaving ho</w:t>
      </w:r>
      <w:r w:rsidRPr="00B508C7">
        <w:rPr>
          <w:color w:val="auto"/>
        </w:rPr>
        <w:t>spital through the introduction of the Discharge to Assess pathways including; discharge to assess bed based - reco</w:t>
      </w:r>
      <w:r>
        <w:rPr>
          <w:color w:val="auto"/>
        </w:rPr>
        <w:t>very and discharge to assess – H</w:t>
      </w:r>
      <w:r w:rsidRPr="00B508C7">
        <w:rPr>
          <w:color w:val="auto"/>
        </w:rPr>
        <w:t xml:space="preserve">ome </w:t>
      </w:r>
      <w:r>
        <w:rPr>
          <w:color w:val="auto"/>
        </w:rPr>
        <w:t>F</w:t>
      </w:r>
      <w:r w:rsidRPr="00B508C7">
        <w:rPr>
          <w:color w:val="auto"/>
        </w:rPr>
        <w:t xml:space="preserve">irst. Similarly, </w:t>
      </w:r>
      <w:r w:rsidRPr="00BF61A6">
        <w:rPr>
          <w:color w:val="auto"/>
        </w:rPr>
        <w:t xml:space="preserve">new </w:t>
      </w:r>
      <w:r>
        <w:rPr>
          <w:color w:val="auto"/>
        </w:rPr>
        <w:t xml:space="preserve">pathways into </w:t>
      </w:r>
      <w:r w:rsidRPr="00BF61A6">
        <w:rPr>
          <w:color w:val="auto"/>
        </w:rPr>
        <w:t>intermediate care</w:t>
      </w:r>
      <w:r>
        <w:rPr>
          <w:color w:val="auto"/>
        </w:rPr>
        <w:t xml:space="preserve"> have been developed to create integrated intermedia</w:t>
      </w:r>
      <w:r>
        <w:rPr>
          <w:color w:val="auto"/>
        </w:rPr>
        <w:t>te care allocation teams including</w:t>
      </w:r>
      <w:r>
        <w:rPr>
          <w:color w:val="auto"/>
        </w:rPr>
        <w:t>,</w:t>
      </w:r>
      <w:r w:rsidRPr="00BF61A6">
        <w:rPr>
          <w:color w:val="auto"/>
        </w:rPr>
        <w:t xml:space="preserve"> ICAT</w:t>
      </w:r>
      <w:r>
        <w:rPr>
          <w:color w:val="auto"/>
        </w:rPr>
        <w:t xml:space="preserve"> (East Lancashire and Morecambe Bay)</w:t>
      </w:r>
      <w:r w:rsidRPr="00BF61A6">
        <w:rPr>
          <w:color w:val="auto"/>
        </w:rPr>
        <w:t>, CATCH</w:t>
      </w:r>
      <w:r>
        <w:rPr>
          <w:color w:val="auto"/>
        </w:rPr>
        <w:t xml:space="preserve"> (Central Lancashire)</w:t>
      </w:r>
      <w:r w:rsidRPr="00BF61A6">
        <w:rPr>
          <w:color w:val="auto"/>
        </w:rPr>
        <w:t xml:space="preserve"> and CERT</w:t>
      </w:r>
      <w:r>
        <w:rPr>
          <w:color w:val="auto"/>
        </w:rPr>
        <w:t xml:space="preserve"> (West Lancashire)</w:t>
      </w:r>
      <w:r w:rsidRPr="00BF61A6">
        <w:rPr>
          <w:color w:val="auto"/>
        </w:rPr>
        <w:t>.</w:t>
      </w:r>
      <w:r w:rsidRPr="00B508C7">
        <w:rPr>
          <w:color w:val="auto"/>
        </w:rPr>
        <w:t xml:space="preserve"> </w:t>
      </w:r>
    </w:p>
    <w:p w:rsidR="00E23E12" w:rsidRDefault="004E53A0" w:rsidP="00BF61A6">
      <w:pPr>
        <w:rPr>
          <w:lang w:eastAsia="en-GB"/>
        </w:rPr>
      </w:pPr>
    </w:p>
    <w:p w:rsidR="0003334A" w:rsidRDefault="004E53A0" w:rsidP="005F7E10">
      <w:pPr>
        <w:pStyle w:val="Heading1"/>
        <w:rPr>
          <w:sz w:val="28"/>
        </w:rPr>
      </w:pPr>
      <w:r>
        <w:rPr>
          <w:sz w:val="28"/>
        </w:rPr>
        <w:t>4.</w:t>
      </w:r>
      <w:r>
        <w:rPr>
          <w:sz w:val="28"/>
        </w:rPr>
        <w:tab/>
      </w:r>
      <w:r>
        <w:rPr>
          <w:sz w:val="28"/>
        </w:rPr>
        <w:t>FLOW CHARTS</w:t>
      </w:r>
      <w:r>
        <w:rPr>
          <w:sz w:val="28"/>
        </w:rPr>
        <w:t>/</w:t>
      </w:r>
      <w:r>
        <w:rPr>
          <w:sz w:val="28"/>
        </w:rPr>
        <w:t>DIAGRAMS</w:t>
      </w:r>
      <w:r>
        <w:rPr>
          <w:sz w:val="28"/>
        </w:rPr>
        <w:t xml:space="preserve"> OR EXAMPLES</w:t>
      </w:r>
    </w:p>
    <w:p w:rsidR="008567B3" w:rsidRDefault="004E53A0" w:rsidP="00826452">
      <w:pPr>
        <w:jc w:val="left"/>
        <w:rPr>
          <w:b/>
          <w:lang w:eastAsia="en-GB"/>
        </w:rPr>
      </w:pPr>
    </w:p>
    <w:p w:rsidR="00826452" w:rsidRDefault="004E53A0" w:rsidP="008567B3">
      <w:pPr>
        <w:ind w:left="720"/>
        <w:jc w:val="left"/>
        <w:rPr>
          <w:lang w:eastAsia="en-GB"/>
        </w:rPr>
      </w:pPr>
      <w:r w:rsidRPr="00826452">
        <w:rPr>
          <w:b/>
          <w:lang w:eastAsia="en-GB"/>
        </w:rPr>
        <w:t>Appendix 1</w:t>
      </w:r>
      <w:r>
        <w:rPr>
          <w:lang w:eastAsia="en-GB"/>
        </w:rPr>
        <w:t xml:space="preserve"> – Operational Process for Acute Discharge Teams within the Adult Social Care Structure 2019.</w:t>
      </w:r>
    </w:p>
    <w:p w:rsidR="00826452" w:rsidRDefault="004E53A0" w:rsidP="008567B3">
      <w:pPr>
        <w:pStyle w:val="Header"/>
        <w:ind w:left="720"/>
        <w:rPr>
          <w:color w:val="auto"/>
          <w:sz w:val="24"/>
          <w:szCs w:val="24"/>
        </w:rPr>
      </w:pPr>
      <w:r w:rsidRPr="00826452">
        <w:rPr>
          <w:b/>
          <w:color w:val="auto"/>
          <w:sz w:val="24"/>
          <w:szCs w:val="24"/>
          <w:lang w:eastAsia="en-GB"/>
        </w:rPr>
        <w:t>Appendix 2</w:t>
      </w:r>
      <w:r w:rsidRPr="00826452">
        <w:rPr>
          <w:color w:val="auto"/>
          <w:sz w:val="24"/>
          <w:szCs w:val="24"/>
          <w:lang w:eastAsia="en-GB"/>
        </w:rPr>
        <w:t xml:space="preserve"> - </w:t>
      </w:r>
      <w:r w:rsidRPr="00826452">
        <w:rPr>
          <w:color w:val="auto"/>
          <w:sz w:val="24"/>
          <w:szCs w:val="24"/>
        </w:rPr>
        <w:t>Hospital Discharge Pathway Version 2. 04/04/2019</w:t>
      </w:r>
    </w:p>
    <w:p w:rsidR="00826452" w:rsidRPr="00826452" w:rsidRDefault="004E53A0" w:rsidP="00826452">
      <w:pPr>
        <w:jc w:val="left"/>
        <w:rPr>
          <w:color w:val="auto"/>
          <w:lang w:eastAsia="en-GB"/>
        </w:rPr>
      </w:pPr>
    </w:p>
    <w:p w:rsidR="00826452" w:rsidRDefault="004E53A0" w:rsidP="00826452">
      <w:pPr>
        <w:jc w:val="left"/>
        <w:rPr>
          <w:lang w:eastAsia="en-GB"/>
        </w:rPr>
      </w:pPr>
    </w:p>
    <w:p w:rsidR="0003334A" w:rsidRDefault="004E53A0" w:rsidP="005F7E10">
      <w:pPr>
        <w:pStyle w:val="Heading1"/>
        <w:rPr>
          <w:sz w:val="28"/>
        </w:rPr>
      </w:pPr>
      <w:r>
        <w:rPr>
          <w:sz w:val="28"/>
        </w:rPr>
        <w:t>5.</w:t>
      </w:r>
      <w:r>
        <w:rPr>
          <w:sz w:val="28"/>
        </w:rPr>
        <w:tab/>
        <w:t>RE</w:t>
      </w:r>
      <w:r>
        <w:rPr>
          <w:sz w:val="28"/>
        </w:rPr>
        <w:t>L</w:t>
      </w:r>
      <w:r>
        <w:rPr>
          <w:sz w:val="28"/>
        </w:rPr>
        <w:t>A</w:t>
      </w:r>
      <w:r>
        <w:rPr>
          <w:sz w:val="28"/>
        </w:rPr>
        <w:t>TED DOCUMENTS</w:t>
      </w:r>
    </w:p>
    <w:p w:rsidR="0003334A" w:rsidRDefault="004E53A0" w:rsidP="005D345B">
      <w:pPr>
        <w:pStyle w:val="Heading1"/>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1"/>
      </w:tblGrid>
      <w:tr w:rsidR="0020536E" w:rsidTr="00297E6E">
        <w:tc>
          <w:tcPr>
            <w:tcW w:w="2689" w:type="dxa"/>
            <w:tcBorders>
              <w:top w:val="single" w:sz="4" w:space="0" w:color="auto"/>
              <w:left w:val="single" w:sz="4" w:space="0" w:color="auto"/>
              <w:bottom w:val="single" w:sz="4" w:space="0" w:color="auto"/>
              <w:right w:val="single" w:sz="4" w:space="0" w:color="auto"/>
            </w:tcBorders>
          </w:tcPr>
          <w:p w:rsidR="00425B42" w:rsidRPr="00B050E0" w:rsidRDefault="004E53A0" w:rsidP="00425B42">
            <w:pPr>
              <w:jc w:val="left"/>
              <w:rPr>
                <w:b/>
                <w:lang w:eastAsia="en-GB"/>
              </w:rPr>
            </w:pPr>
            <w:r w:rsidRPr="00B050E0">
              <w:rPr>
                <w:b/>
                <w:lang w:eastAsia="en-GB"/>
              </w:rPr>
              <w:t xml:space="preserve">POLICY, </w:t>
            </w:r>
            <w:r w:rsidRPr="00B050E0">
              <w:rPr>
                <w:b/>
                <w:lang w:eastAsia="en-GB"/>
              </w:rPr>
              <w:t>PROCEDURE AND GUIDANCE (PPG) DOCUMENTS</w:t>
            </w:r>
          </w:p>
        </w:tc>
        <w:tc>
          <w:tcPr>
            <w:tcW w:w="6321" w:type="dxa"/>
            <w:tcBorders>
              <w:top w:val="single" w:sz="4" w:space="0" w:color="auto"/>
              <w:left w:val="single" w:sz="4" w:space="0" w:color="auto"/>
              <w:bottom w:val="single" w:sz="4" w:space="0" w:color="auto"/>
              <w:right w:val="single" w:sz="4" w:space="0" w:color="auto"/>
            </w:tcBorders>
          </w:tcPr>
          <w:p w:rsidR="00425B42" w:rsidRDefault="004E53A0" w:rsidP="00425B42">
            <w:pPr>
              <w:rPr>
                <w:lang w:eastAsia="en-GB"/>
              </w:rPr>
            </w:pPr>
            <w:hyperlink r:id="rId19" w:history="1">
              <w:r w:rsidRPr="00686782">
                <w:rPr>
                  <w:rStyle w:val="Hyperlink"/>
                  <w:rFonts w:cs="Helvetica-Light"/>
                  <w:lang w:eastAsia="en-GB"/>
                </w:rPr>
                <w:t>Assessment of Need</w:t>
              </w:r>
            </w:hyperlink>
          </w:p>
        </w:tc>
      </w:tr>
      <w:tr w:rsidR="0020536E" w:rsidTr="00297E6E">
        <w:tc>
          <w:tcPr>
            <w:tcW w:w="2689" w:type="dxa"/>
            <w:tcBorders>
              <w:top w:val="single" w:sz="4" w:space="0" w:color="auto"/>
              <w:left w:val="single" w:sz="4" w:space="0" w:color="auto"/>
              <w:bottom w:val="single" w:sz="4" w:space="0" w:color="auto"/>
              <w:right w:val="single" w:sz="4" w:space="0" w:color="auto"/>
            </w:tcBorders>
          </w:tcPr>
          <w:p w:rsidR="00425B42" w:rsidRPr="00B050E0" w:rsidRDefault="004E53A0" w:rsidP="00B050E0">
            <w:pPr>
              <w:jc w:val="left"/>
              <w:rPr>
                <w:b/>
                <w:lang w:eastAsia="en-GB"/>
              </w:rPr>
            </w:pPr>
            <w:r w:rsidRPr="00B050E0">
              <w:rPr>
                <w:b/>
                <w:lang w:eastAsia="en-GB"/>
              </w:rPr>
              <w:t xml:space="preserve">LEGISLATION </w:t>
            </w:r>
            <w:r w:rsidRPr="00B050E0">
              <w:rPr>
                <w:b/>
                <w:lang w:eastAsia="en-GB"/>
              </w:rPr>
              <w:t>AND</w:t>
            </w:r>
            <w:r w:rsidRPr="00B050E0">
              <w:rPr>
                <w:b/>
                <w:lang w:eastAsia="en-GB"/>
              </w:rPr>
              <w:t xml:space="preserve"> REGULATIONS</w:t>
            </w:r>
          </w:p>
        </w:tc>
        <w:tc>
          <w:tcPr>
            <w:tcW w:w="6321" w:type="dxa"/>
            <w:tcBorders>
              <w:top w:val="single" w:sz="4" w:space="0" w:color="auto"/>
              <w:left w:val="single" w:sz="4" w:space="0" w:color="auto"/>
              <w:bottom w:val="single" w:sz="4" w:space="0" w:color="auto"/>
              <w:right w:val="single" w:sz="4" w:space="0" w:color="auto"/>
            </w:tcBorders>
          </w:tcPr>
          <w:p w:rsidR="008567B3" w:rsidRDefault="004E53A0" w:rsidP="008567B3">
            <w:pPr>
              <w:jc w:val="left"/>
              <w:rPr>
                <w:rFonts w:cs="Arial"/>
                <w:bCs/>
                <w:color w:val="0B0C0C"/>
              </w:rPr>
            </w:pPr>
            <w:hyperlink r:id="rId20" w:history="1">
              <w:r w:rsidRPr="008567B3">
                <w:rPr>
                  <w:rStyle w:val="Hyperlink"/>
                  <w:bCs/>
                </w:rPr>
                <w:t>Care Act 2014 Statutory Guidance</w:t>
              </w:r>
            </w:hyperlink>
          </w:p>
          <w:p w:rsidR="008567B3" w:rsidRDefault="004E53A0" w:rsidP="008567B3">
            <w:pPr>
              <w:jc w:val="left"/>
              <w:rPr>
                <w:rFonts w:cs="Arial"/>
                <w:bCs/>
                <w:color w:val="0B0C0C"/>
              </w:rPr>
            </w:pPr>
            <w:hyperlink r:id="rId21" w:history="1">
              <w:r w:rsidRPr="006F15DA">
                <w:rPr>
                  <w:rStyle w:val="Hyperlink"/>
                  <w:bCs/>
                </w:rPr>
                <w:t>Annex G: The process for managing transfers of care from hospital</w:t>
              </w:r>
            </w:hyperlink>
          </w:p>
          <w:p w:rsidR="00425B42" w:rsidRPr="008567B3" w:rsidRDefault="004E53A0" w:rsidP="008567B3">
            <w:pPr>
              <w:jc w:val="left"/>
              <w:rPr>
                <w:lang w:eastAsia="en-GB"/>
              </w:rPr>
            </w:pPr>
            <w:hyperlink r:id="rId22" w:history="1">
              <w:r w:rsidRPr="008567B3">
                <w:rPr>
                  <w:rStyle w:val="Hyperlink"/>
                  <w:bCs/>
                </w:rPr>
                <w:t>National framewo</w:t>
              </w:r>
              <w:r w:rsidRPr="008567B3">
                <w:rPr>
                  <w:rStyle w:val="Hyperlink"/>
                  <w:bCs/>
                </w:rPr>
                <w:t>rk for NHS continuing healthcare and NHS-funded nursing care</w:t>
              </w:r>
            </w:hyperlink>
          </w:p>
        </w:tc>
      </w:tr>
    </w:tbl>
    <w:p w:rsidR="00425B42" w:rsidRPr="00425B42" w:rsidRDefault="004E53A0" w:rsidP="00425B42">
      <w:pPr>
        <w:rPr>
          <w:lang w:eastAsia="en-GB"/>
        </w:rPr>
      </w:pPr>
    </w:p>
    <w:p w:rsidR="0003334A" w:rsidRDefault="004E53A0" w:rsidP="005F7E10">
      <w:pPr>
        <w:pStyle w:val="Heading1"/>
        <w:rPr>
          <w:sz w:val="28"/>
        </w:rPr>
      </w:pPr>
      <w:r>
        <w:rPr>
          <w:sz w:val="28"/>
        </w:rPr>
        <w:t>6.</w:t>
      </w:r>
      <w:r>
        <w:rPr>
          <w:sz w:val="28"/>
        </w:rPr>
        <w:tab/>
      </w:r>
      <w:r w:rsidRPr="00684C88">
        <w:rPr>
          <w:sz w:val="28"/>
        </w:rPr>
        <w:t>EQUALITY IMPACT ASSESSMENT</w:t>
      </w:r>
      <w:bookmarkEnd w:id="9"/>
    </w:p>
    <w:p w:rsidR="0003334A" w:rsidRDefault="004E53A0" w:rsidP="0003334A">
      <w:pPr>
        <w:rPr>
          <w:lang w:eastAsia="en-GB"/>
        </w:rPr>
      </w:pPr>
    </w:p>
    <w:p w:rsidR="00786347" w:rsidRDefault="004E53A0" w:rsidP="00786347">
      <w:pPr>
        <w:rPr>
          <w:rFonts w:eastAsiaTheme="minorHAnsi" w:cs="Arial"/>
          <w:color w:val="auto"/>
        </w:rPr>
      </w:pPr>
      <w:r>
        <w:rPr>
          <w:rFonts w:cs="Arial"/>
        </w:rPr>
        <w:t xml:space="preserve">The Equality Act 2010 requires the county council to have "due regard" to the needs of groups with protected characteristics when carrying out all its </w:t>
      </w:r>
      <w:r>
        <w:rPr>
          <w:rFonts w:cs="Arial"/>
        </w:rPr>
        <w:t>functions, as a service provider and an employer.  The protected characteristics are: age, disability, gender identity/gender reassignment, gender, race/ethnicity/nationality, religion or belief, pregnancy or maternity, sexual orientation and marriage or c</w:t>
      </w:r>
      <w:r>
        <w:rPr>
          <w:rFonts w:cs="Arial"/>
        </w:rPr>
        <w:t>ivil partnership status.</w:t>
      </w:r>
    </w:p>
    <w:p w:rsidR="00786347" w:rsidRDefault="004E53A0" w:rsidP="00786347">
      <w:pPr>
        <w:rPr>
          <w:rFonts w:cs="Arial"/>
        </w:rPr>
      </w:pPr>
      <w:r>
        <w:rPr>
          <w:rFonts w:cs="Arial"/>
        </w:rPr>
        <w:t>The main aims of the Public Sector Equality Duty are:</w:t>
      </w:r>
    </w:p>
    <w:p w:rsidR="00786347" w:rsidRDefault="004E53A0" w:rsidP="00F43E25">
      <w:pPr>
        <w:pStyle w:val="ListParagraph"/>
        <w:numPr>
          <w:ilvl w:val="0"/>
          <w:numId w:val="6"/>
        </w:numPr>
        <w:autoSpaceDE/>
        <w:autoSpaceDN/>
        <w:adjustRightInd/>
        <w:spacing w:after="160" w:line="252" w:lineRule="auto"/>
        <w:jc w:val="left"/>
        <w:rPr>
          <w:rFonts w:cs="Arial"/>
        </w:rPr>
      </w:pPr>
      <w:r>
        <w:rPr>
          <w:rFonts w:cs="Arial"/>
        </w:rPr>
        <w:t>To eliminate discrimination, harassment or victimisation of a person because of protected characteristics;</w:t>
      </w:r>
    </w:p>
    <w:p w:rsidR="00786347" w:rsidRDefault="004E53A0" w:rsidP="00F43E25">
      <w:pPr>
        <w:pStyle w:val="ListParagraph"/>
        <w:numPr>
          <w:ilvl w:val="0"/>
          <w:numId w:val="6"/>
        </w:numPr>
        <w:autoSpaceDE/>
        <w:autoSpaceDN/>
        <w:adjustRightInd/>
        <w:spacing w:after="160" w:line="252" w:lineRule="auto"/>
        <w:jc w:val="left"/>
        <w:rPr>
          <w:rFonts w:cs="Arial"/>
        </w:rPr>
      </w:pPr>
      <w:r>
        <w:rPr>
          <w:rFonts w:cs="Arial"/>
        </w:rPr>
        <w:t xml:space="preserve">To advance equality of opportunity between groups who share protected </w:t>
      </w:r>
      <w:r>
        <w:rPr>
          <w:rFonts w:cs="Arial"/>
        </w:rPr>
        <w:t>characteristics and those who do not share them. This includes encouraging participation in public life of those with protected characteristics and taking steps to ensure that disabled people in particular can participate in activities/processes;</w:t>
      </w:r>
    </w:p>
    <w:p w:rsidR="00786347" w:rsidRDefault="004E53A0" w:rsidP="00F43E25">
      <w:pPr>
        <w:pStyle w:val="ListParagraph"/>
        <w:numPr>
          <w:ilvl w:val="0"/>
          <w:numId w:val="6"/>
        </w:numPr>
        <w:autoSpaceDE/>
        <w:autoSpaceDN/>
        <w:adjustRightInd/>
        <w:spacing w:after="160" w:line="252" w:lineRule="auto"/>
        <w:jc w:val="left"/>
        <w:rPr>
          <w:rFonts w:cs="Arial"/>
        </w:rPr>
      </w:pPr>
      <w:r>
        <w:rPr>
          <w:rFonts w:cs="Arial"/>
        </w:rPr>
        <w:t>Fostering</w:t>
      </w:r>
      <w:r>
        <w:rPr>
          <w:rFonts w:cs="Arial"/>
        </w:rPr>
        <w:t xml:space="preserve"> good relations between groups who share protected characteristics and those who do not share them/community cohesion.</w:t>
      </w:r>
    </w:p>
    <w:p w:rsidR="00786347" w:rsidRDefault="004E53A0" w:rsidP="00786347">
      <w:pPr>
        <w:rPr>
          <w:rFonts w:cs="Arial"/>
        </w:rPr>
      </w:pPr>
      <w:r>
        <w:rPr>
          <w:rFonts w:cs="Arial"/>
        </w:rPr>
        <w:t xml:space="preserve">It is anticipated that the guidance on </w:t>
      </w:r>
      <w:r>
        <w:rPr>
          <w:rFonts w:cs="Arial"/>
        </w:rPr>
        <w:t>Discharge of Hospital Patients with Care and Support Needs</w:t>
      </w:r>
      <w:r>
        <w:rPr>
          <w:rFonts w:cs="Arial"/>
        </w:rPr>
        <w:t xml:space="preserve"> in this document</w:t>
      </w:r>
      <w:r>
        <w:rPr>
          <w:rFonts w:cs="Arial"/>
        </w:rPr>
        <w:t>,</w:t>
      </w:r>
      <w:r>
        <w:rPr>
          <w:rFonts w:cs="Arial"/>
        </w:rPr>
        <w:t xml:space="preserve"> will support the coun</w:t>
      </w:r>
      <w:r>
        <w:rPr>
          <w:rFonts w:cs="Arial"/>
        </w:rPr>
        <w:t xml:space="preserve">ty council in meeting the above aims when applied in a person-centred, objective and fair way which includes, where </w:t>
      </w:r>
      <w:r>
        <w:rPr>
          <w:rFonts w:cs="Arial"/>
        </w:rPr>
        <w:lastRenderedPageBreak/>
        <w:t xml:space="preserve">appropriate, ensuring that relevant factors relating to a person's protected characteristics are included as part of the process.  </w:t>
      </w:r>
    </w:p>
    <w:p w:rsidR="00786347" w:rsidRDefault="004E53A0" w:rsidP="00786347">
      <w:pPr>
        <w:rPr>
          <w:rFonts w:cs="Arial"/>
        </w:rPr>
      </w:pPr>
      <w:r>
        <w:rPr>
          <w:rFonts w:cs="Arial"/>
        </w:rPr>
        <w:t>More inf</w:t>
      </w:r>
      <w:r>
        <w:rPr>
          <w:rFonts w:cs="Arial"/>
        </w:rPr>
        <w:t xml:space="preserve">ormation can be found on </w:t>
      </w:r>
      <w:hyperlink r:id="rId23" w:history="1">
        <w:r w:rsidRPr="00743E0E">
          <w:rPr>
            <w:rStyle w:val="Hyperlink"/>
          </w:rPr>
          <w:t>the Equality and Cohesion intranet site</w:t>
        </w:r>
      </w:hyperlink>
      <w:r w:rsidR="00743E0E">
        <w:rPr>
          <w:rFonts w:cs="Arial"/>
        </w:rPr>
        <w:t>.</w:t>
      </w:r>
    </w:p>
    <w:p w:rsidR="0003334A" w:rsidRPr="0003334A" w:rsidRDefault="004E53A0" w:rsidP="0003334A">
      <w:pPr>
        <w:rPr>
          <w:lang w:eastAsia="en-GB"/>
        </w:rPr>
      </w:pPr>
    </w:p>
    <w:bookmarkEnd w:id="5"/>
    <w:bookmarkEnd w:id="6"/>
    <w:bookmarkEnd w:id="7"/>
    <w:p w:rsidR="005602EE" w:rsidRPr="000D4BF2" w:rsidRDefault="004E53A0" w:rsidP="00386B6C"/>
    <w:sectPr w:rsidR="005602EE" w:rsidRPr="000D4BF2" w:rsidSect="00516FCA">
      <w:headerReference w:type="default" r:id="rId24"/>
      <w:footerReference w:type="default" r:id="rId25"/>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53A0">
      <w:pPr>
        <w:spacing w:after="0"/>
      </w:pPr>
      <w:r>
        <w:separator/>
      </w:r>
    </w:p>
  </w:endnote>
  <w:endnote w:type="continuationSeparator" w:id="0">
    <w:p w:rsidR="00000000" w:rsidRDefault="004E5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20536E" w:rsidTr="00C74127">
      <w:trPr>
        <w:jc w:val="center"/>
      </w:trPr>
      <w:tc>
        <w:tcPr>
          <w:tcW w:w="5000" w:type="pct"/>
          <w:shd w:val="clear" w:color="auto" w:fill="BFBFBF"/>
        </w:tcPr>
        <w:p w:rsidR="00B050E0" w:rsidRPr="008E5502" w:rsidRDefault="004E53A0" w:rsidP="00DB6FF3">
          <w:pPr>
            <w:pStyle w:val="Footer"/>
          </w:pPr>
          <w:r w:rsidRPr="008E5502">
            <w:t xml:space="preserve">• </w:t>
          </w:r>
          <w:r>
            <w:fldChar w:fldCharType="begin"/>
          </w:r>
          <w:r>
            <w:instrText xml:space="preserve"> PAGE   \* MERGEFORMAT </w:instrText>
          </w:r>
          <w:r>
            <w:fldChar w:fldCharType="separate"/>
          </w:r>
          <w:r>
            <w:rPr>
              <w:noProof/>
            </w:rPr>
            <w:t>8</w:t>
          </w:r>
          <w:r>
            <w:fldChar w:fldCharType="end"/>
          </w:r>
          <w:r w:rsidRPr="008E5502">
            <w:t xml:space="preserve"> •</w:t>
          </w:r>
        </w:p>
      </w:tc>
    </w:tr>
  </w:tbl>
  <w:p w:rsidR="00B050E0" w:rsidRDefault="004E53A0"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53A0">
      <w:pPr>
        <w:spacing w:after="0"/>
      </w:pPr>
      <w:r>
        <w:separator/>
      </w:r>
    </w:p>
  </w:footnote>
  <w:footnote w:type="continuationSeparator" w:id="0">
    <w:p w:rsidR="00000000" w:rsidRDefault="004E53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0" w:rsidRDefault="004E53A0">
    <w:pPr>
      <w:pStyle w:val="Header"/>
    </w:pPr>
    <w:r>
      <w:rPr>
        <w:noProof/>
        <w:lang w:eastAsia="en-GB"/>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8787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0" w:rsidRDefault="004E53A0" w:rsidP="00846AEA">
    <w:pPr>
      <w:pStyle w:val="Header"/>
    </w:pPr>
    <w:r>
      <w:rPr>
        <w:noProof/>
        <w:lang w:eastAsia="en-GB"/>
      </w:rPr>
      <w:drawing>
        <wp:anchor distT="0" distB="0" distL="114300" distR="114300" simplePos="0" relativeHeight="251656704"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30091"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20536E" w:rsidTr="00C74127">
      <w:trPr>
        <w:jc w:val="center"/>
      </w:trPr>
      <w:tc>
        <w:tcPr>
          <w:tcW w:w="5000" w:type="pct"/>
          <w:shd w:val="clear" w:color="auto" w:fill="D31145"/>
        </w:tcPr>
        <w:p w:rsidR="00B050E0" w:rsidRPr="00C74127" w:rsidRDefault="004E53A0" w:rsidP="00172E10">
          <w:pPr>
            <w:pStyle w:val="Header"/>
            <w:jc w:val="right"/>
          </w:pPr>
          <w:r>
            <w:t xml:space="preserve">  </w:t>
          </w:r>
          <w:r>
            <w:t xml:space="preserve">Discharge of </w:t>
          </w:r>
          <w:r>
            <w:t>H</w:t>
          </w:r>
          <w:r>
            <w:t xml:space="preserve">ospital </w:t>
          </w:r>
          <w:r>
            <w:t>Patients with C</w:t>
          </w:r>
          <w:r>
            <w:t xml:space="preserve">are and </w:t>
          </w:r>
          <w:r>
            <w:t>S</w:t>
          </w:r>
          <w:r>
            <w:t>up</w:t>
          </w:r>
          <w:r>
            <w:t xml:space="preserve">port </w:t>
          </w:r>
          <w:r>
            <w:t>N</w:t>
          </w:r>
          <w:r>
            <w:t xml:space="preserve">eeds                             </w:t>
          </w:r>
          <w:r>
            <w:t>May</w:t>
          </w:r>
          <w:r>
            <w:t xml:space="preserve"> 201</w:t>
          </w:r>
          <w:r>
            <w:t>9</w:t>
          </w:r>
        </w:p>
      </w:tc>
    </w:tr>
  </w:tbl>
  <w:p w:rsidR="00B050E0" w:rsidRDefault="004E53A0"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68B"/>
    <w:multiLevelType w:val="hybridMultilevel"/>
    <w:tmpl w:val="104A3426"/>
    <w:lvl w:ilvl="0" w:tplc="546C44C0">
      <w:start w:val="1"/>
      <w:numFmt w:val="bullet"/>
      <w:lvlText w:val=""/>
      <w:lvlJc w:val="left"/>
      <w:pPr>
        <w:ind w:left="720" w:hanging="360"/>
      </w:pPr>
      <w:rPr>
        <w:rFonts w:ascii="Symbol" w:hAnsi="Symbol" w:hint="default"/>
      </w:rPr>
    </w:lvl>
    <w:lvl w:ilvl="1" w:tplc="F1828C2A" w:tentative="1">
      <w:start w:val="1"/>
      <w:numFmt w:val="bullet"/>
      <w:lvlText w:val="o"/>
      <w:lvlJc w:val="left"/>
      <w:pPr>
        <w:ind w:left="1440" w:hanging="360"/>
      </w:pPr>
      <w:rPr>
        <w:rFonts w:ascii="Courier New" w:hAnsi="Courier New" w:cs="Courier New" w:hint="default"/>
      </w:rPr>
    </w:lvl>
    <w:lvl w:ilvl="2" w:tplc="A7F03F66" w:tentative="1">
      <w:start w:val="1"/>
      <w:numFmt w:val="bullet"/>
      <w:lvlText w:val=""/>
      <w:lvlJc w:val="left"/>
      <w:pPr>
        <w:ind w:left="2160" w:hanging="360"/>
      </w:pPr>
      <w:rPr>
        <w:rFonts w:ascii="Wingdings" w:hAnsi="Wingdings" w:hint="default"/>
      </w:rPr>
    </w:lvl>
    <w:lvl w:ilvl="3" w:tplc="AA6C6E5E" w:tentative="1">
      <w:start w:val="1"/>
      <w:numFmt w:val="bullet"/>
      <w:lvlText w:val=""/>
      <w:lvlJc w:val="left"/>
      <w:pPr>
        <w:ind w:left="2880" w:hanging="360"/>
      </w:pPr>
      <w:rPr>
        <w:rFonts w:ascii="Symbol" w:hAnsi="Symbol" w:hint="default"/>
      </w:rPr>
    </w:lvl>
    <w:lvl w:ilvl="4" w:tplc="A69C3004" w:tentative="1">
      <w:start w:val="1"/>
      <w:numFmt w:val="bullet"/>
      <w:lvlText w:val="o"/>
      <w:lvlJc w:val="left"/>
      <w:pPr>
        <w:ind w:left="3600" w:hanging="360"/>
      </w:pPr>
      <w:rPr>
        <w:rFonts w:ascii="Courier New" w:hAnsi="Courier New" w:cs="Courier New" w:hint="default"/>
      </w:rPr>
    </w:lvl>
    <w:lvl w:ilvl="5" w:tplc="555E8840" w:tentative="1">
      <w:start w:val="1"/>
      <w:numFmt w:val="bullet"/>
      <w:lvlText w:val=""/>
      <w:lvlJc w:val="left"/>
      <w:pPr>
        <w:ind w:left="4320" w:hanging="360"/>
      </w:pPr>
      <w:rPr>
        <w:rFonts w:ascii="Wingdings" w:hAnsi="Wingdings" w:hint="default"/>
      </w:rPr>
    </w:lvl>
    <w:lvl w:ilvl="6" w:tplc="758CE3D8" w:tentative="1">
      <w:start w:val="1"/>
      <w:numFmt w:val="bullet"/>
      <w:lvlText w:val=""/>
      <w:lvlJc w:val="left"/>
      <w:pPr>
        <w:ind w:left="5040" w:hanging="360"/>
      </w:pPr>
      <w:rPr>
        <w:rFonts w:ascii="Symbol" w:hAnsi="Symbol" w:hint="default"/>
      </w:rPr>
    </w:lvl>
    <w:lvl w:ilvl="7" w:tplc="574C8594" w:tentative="1">
      <w:start w:val="1"/>
      <w:numFmt w:val="bullet"/>
      <w:lvlText w:val="o"/>
      <w:lvlJc w:val="left"/>
      <w:pPr>
        <w:ind w:left="5760" w:hanging="360"/>
      </w:pPr>
      <w:rPr>
        <w:rFonts w:ascii="Courier New" w:hAnsi="Courier New" w:cs="Courier New" w:hint="default"/>
      </w:rPr>
    </w:lvl>
    <w:lvl w:ilvl="8" w:tplc="25BE4A06" w:tentative="1">
      <w:start w:val="1"/>
      <w:numFmt w:val="bullet"/>
      <w:lvlText w:val=""/>
      <w:lvlJc w:val="left"/>
      <w:pPr>
        <w:ind w:left="6480" w:hanging="360"/>
      </w:pPr>
      <w:rPr>
        <w:rFonts w:ascii="Wingdings" w:hAnsi="Wingdings" w:hint="default"/>
      </w:rPr>
    </w:lvl>
  </w:abstractNum>
  <w:abstractNum w:abstractNumId="1"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6C11F4"/>
    <w:multiLevelType w:val="hybridMultilevel"/>
    <w:tmpl w:val="5D0286FC"/>
    <w:lvl w:ilvl="0" w:tplc="B4966086">
      <w:start w:val="1"/>
      <w:numFmt w:val="bullet"/>
      <w:lvlText w:val=""/>
      <w:lvlJc w:val="left"/>
      <w:pPr>
        <w:ind w:left="720" w:hanging="360"/>
      </w:pPr>
      <w:rPr>
        <w:rFonts w:ascii="Symbol" w:hAnsi="Symbol" w:hint="default"/>
      </w:rPr>
    </w:lvl>
    <w:lvl w:ilvl="1" w:tplc="58F2A206">
      <w:start w:val="1"/>
      <w:numFmt w:val="bullet"/>
      <w:lvlText w:val="o"/>
      <w:lvlJc w:val="left"/>
      <w:pPr>
        <w:ind w:left="1440" w:hanging="360"/>
      </w:pPr>
      <w:rPr>
        <w:rFonts w:ascii="Courier New" w:hAnsi="Courier New" w:cs="Courier New" w:hint="default"/>
      </w:rPr>
    </w:lvl>
    <w:lvl w:ilvl="2" w:tplc="564AD4C4">
      <w:start w:val="1"/>
      <w:numFmt w:val="bullet"/>
      <w:lvlText w:val=""/>
      <w:lvlJc w:val="left"/>
      <w:pPr>
        <w:ind w:left="2160" w:hanging="360"/>
      </w:pPr>
      <w:rPr>
        <w:rFonts w:ascii="Wingdings" w:hAnsi="Wingdings" w:hint="default"/>
      </w:rPr>
    </w:lvl>
    <w:lvl w:ilvl="3" w:tplc="11E0FC34">
      <w:start w:val="1"/>
      <w:numFmt w:val="bullet"/>
      <w:lvlText w:val=""/>
      <w:lvlJc w:val="left"/>
      <w:pPr>
        <w:ind w:left="2880" w:hanging="360"/>
      </w:pPr>
      <w:rPr>
        <w:rFonts w:ascii="Symbol" w:hAnsi="Symbol" w:hint="default"/>
      </w:rPr>
    </w:lvl>
    <w:lvl w:ilvl="4" w:tplc="EF0C53DC">
      <w:start w:val="1"/>
      <w:numFmt w:val="bullet"/>
      <w:lvlText w:val="o"/>
      <w:lvlJc w:val="left"/>
      <w:pPr>
        <w:ind w:left="3600" w:hanging="360"/>
      </w:pPr>
      <w:rPr>
        <w:rFonts w:ascii="Courier New" w:hAnsi="Courier New" w:cs="Courier New" w:hint="default"/>
      </w:rPr>
    </w:lvl>
    <w:lvl w:ilvl="5" w:tplc="88FA405C">
      <w:start w:val="1"/>
      <w:numFmt w:val="bullet"/>
      <w:lvlText w:val=""/>
      <w:lvlJc w:val="left"/>
      <w:pPr>
        <w:ind w:left="4320" w:hanging="360"/>
      </w:pPr>
      <w:rPr>
        <w:rFonts w:ascii="Wingdings" w:hAnsi="Wingdings" w:hint="default"/>
      </w:rPr>
    </w:lvl>
    <w:lvl w:ilvl="6" w:tplc="53FEA666">
      <w:start w:val="1"/>
      <w:numFmt w:val="bullet"/>
      <w:lvlText w:val=""/>
      <w:lvlJc w:val="left"/>
      <w:pPr>
        <w:ind w:left="5040" w:hanging="360"/>
      </w:pPr>
      <w:rPr>
        <w:rFonts w:ascii="Symbol" w:hAnsi="Symbol" w:hint="default"/>
      </w:rPr>
    </w:lvl>
    <w:lvl w:ilvl="7" w:tplc="3E1AE724">
      <w:start w:val="1"/>
      <w:numFmt w:val="bullet"/>
      <w:lvlText w:val="o"/>
      <w:lvlJc w:val="left"/>
      <w:pPr>
        <w:ind w:left="5760" w:hanging="360"/>
      </w:pPr>
      <w:rPr>
        <w:rFonts w:ascii="Courier New" w:hAnsi="Courier New" w:cs="Courier New" w:hint="default"/>
      </w:rPr>
    </w:lvl>
    <w:lvl w:ilvl="8" w:tplc="EC6EF5F2">
      <w:start w:val="1"/>
      <w:numFmt w:val="bullet"/>
      <w:lvlText w:val=""/>
      <w:lvlJc w:val="left"/>
      <w:pPr>
        <w:ind w:left="6480" w:hanging="360"/>
      </w:pPr>
      <w:rPr>
        <w:rFonts w:ascii="Wingdings" w:hAnsi="Wingdings" w:hint="default"/>
      </w:rPr>
    </w:lvl>
  </w:abstractNum>
  <w:abstractNum w:abstractNumId="3" w15:restartNumberingAfterBreak="0">
    <w:nsid w:val="279126E4"/>
    <w:multiLevelType w:val="hybridMultilevel"/>
    <w:tmpl w:val="7EBEC6B4"/>
    <w:lvl w:ilvl="0" w:tplc="E58E1B7E">
      <w:start w:val="1"/>
      <w:numFmt w:val="bullet"/>
      <w:lvlText w:val=""/>
      <w:lvlJc w:val="left"/>
      <w:pPr>
        <w:ind w:left="720" w:hanging="360"/>
      </w:pPr>
      <w:rPr>
        <w:rFonts w:ascii="Symbol" w:hAnsi="Symbol" w:hint="default"/>
      </w:rPr>
    </w:lvl>
    <w:lvl w:ilvl="1" w:tplc="1B4CAB96" w:tentative="1">
      <w:start w:val="1"/>
      <w:numFmt w:val="bullet"/>
      <w:lvlText w:val="o"/>
      <w:lvlJc w:val="left"/>
      <w:pPr>
        <w:ind w:left="1440" w:hanging="360"/>
      </w:pPr>
      <w:rPr>
        <w:rFonts w:ascii="Courier New" w:hAnsi="Courier New" w:cs="Courier New" w:hint="default"/>
      </w:rPr>
    </w:lvl>
    <w:lvl w:ilvl="2" w:tplc="2A1CB836" w:tentative="1">
      <w:start w:val="1"/>
      <w:numFmt w:val="bullet"/>
      <w:lvlText w:val=""/>
      <w:lvlJc w:val="left"/>
      <w:pPr>
        <w:ind w:left="2160" w:hanging="360"/>
      </w:pPr>
      <w:rPr>
        <w:rFonts w:ascii="Wingdings" w:hAnsi="Wingdings" w:hint="default"/>
      </w:rPr>
    </w:lvl>
    <w:lvl w:ilvl="3" w:tplc="7F4886CA" w:tentative="1">
      <w:start w:val="1"/>
      <w:numFmt w:val="bullet"/>
      <w:lvlText w:val=""/>
      <w:lvlJc w:val="left"/>
      <w:pPr>
        <w:ind w:left="2880" w:hanging="360"/>
      </w:pPr>
      <w:rPr>
        <w:rFonts w:ascii="Symbol" w:hAnsi="Symbol" w:hint="default"/>
      </w:rPr>
    </w:lvl>
    <w:lvl w:ilvl="4" w:tplc="54B65376" w:tentative="1">
      <w:start w:val="1"/>
      <w:numFmt w:val="bullet"/>
      <w:lvlText w:val="o"/>
      <w:lvlJc w:val="left"/>
      <w:pPr>
        <w:ind w:left="3600" w:hanging="360"/>
      </w:pPr>
      <w:rPr>
        <w:rFonts w:ascii="Courier New" w:hAnsi="Courier New" w:cs="Courier New" w:hint="default"/>
      </w:rPr>
    </w:lvl>
    <w:lvl w:ilvl="5" w:tplc="36CA4340" w:tentative="1">
      <w:start w:val="1"/>
      <w:numFmt w:val="bullet"/>
      <w:lvlText w:val=""/>
      <w:lvlJc w:val="left"/>
      <w:pPr>
        <w:ind w:left="4320" w:hanging="360"/>
      </w:pPr>
      <w:rPr>
        <w:rFonts w:ascii="Wingdings" w:hAnsi="Wingdings" w:hint="default"/>
      </w:rPr>
    </w:lvl>
    <w:lvl w:ilvl="6" w:tplc="70863C3E" w:tentative="1">
      <w:start w:val="1"/>
      <w:numFmt w:val="bullet"/>
      <w:lvlText w:val=""/>
      <w:lvlJc w:val="left"/>
      <w:pPr>
        <w:ind w:left="5040" w:hanging="360"/>
      </w:pPr>
      <w:rPr>
        <w:rFonts w:ascii="Symbol" w:hAnsi="Symbol" w:hint="default"/>
      </w:rPr>
    </w:lvl>
    <w:lvl w:ilvl="7" w:tplc="946C637C" w:tentative="1">
      <w:start w:val="1"/>
      <w:numFmt w:val="bullet"/>
      <w:lvlText w:val="o"/>
      <w:lvlJc w:val="left"/>
      <w:pPr>
        <w:ind w:left="5760" w:hanging="360"/>
      </w:pPr>
      <w:rPr>
        <w:rFonts w:ascii="Courier New" w:hAnsi="Courier New" w:cs="Courier New" w:hint="default"/>
      </w:rPr>
    </w:lvl>
    <w:lvl w:ilvl="8" w:tplc="E16EB804" w:tentative="1">
      <w:start w:val="1"/>
      <w:numFmt w:val="bullet"/>
      <w:lvlText w:val=""/>
      <w:lvlJc w:val="left"/>
      <w:pPr>
        <w:ind w:left="6480" w:hanging="360"/>
      </w:pPr>
      <w:rPr>
        <w:rFonts w:ascii="Wingdings" w:hAnsi="Wingdings" w:hint="default"/>
      </w:rPr>
    </w:lvl>
  </w:abstractNum>
  <w:abstractNum w:abstractNumId="4" w15:restartNumberingAfterBreak="0">
    <w:nsid w:val="32DE378D"/>
    <w:multiLevelType w:val="hybridMultilevel"/>
    <w:tmpl w:val="669255CA"/>
    <w:lvl w:ilvl="0" w:tplc="379830FE">
      <w:start w:val="1"/>
      <w:numFmt w:val="bullet"/>
      <w:pStyle w:val="Bullet"/>
      <w:lvlText w:val=""/>
      <w:lvlJc w:val="left"/>
      <w:pPr>
        <w:ind w:left="363" w:hanging="360"/>
      </w:pPr>
      <w:rPr>
        <w:rFonts w:ascii="Symbol" w:hAnsi="Symbol" w:hint="default"/>
      </w:rPr>
    </w:lvl>
    <w:lvl w:ilvl="1" w:tplc="09FECD7C">
      <w:start w:val="1"/>
      <w:numFmt w:val="bullet"/>
      <w:pStyle w:val="Bullet-indent"/>
      <w:lvlText w:val="o"/>
      <w:lvlJc w:val="left"/>
      <w:pPr>
        <w:ind w:left="1083" w:hanging="360"/>
      </w:pPr>
      <w:rPr>
        <w:rFonts w:ascii="Courier New" w:hAnsi="Courier New" w:cs="Courier New" w:hint="default"/>
      </w:rPr>
    </w:lvl>
    <w:lvl w:ilvl="2" w:tplc="8AF0942E" w:tentative="1">
      <w:start w:val="1"/>
      <w:numFmt w:val="bullet"/>
      <w:lvlText w:val=""/>
      <w:lvlJc w:val="left"/>
      <w:pPr>
        <w:ind w:left="1803" w:hanging="360"/>
      </w:pPr>
      <w:rPr>
        <w:rFonts w:ascii="Wingdings" w:hAnsi="Wingdings" w:hint="default"/>
      </w:rPr>
    </w:lvl>
    <w:lvl w:ilvl="3" w:tplc="14183FE4" w:tentative="1">
      <w:start w:val="1"/>
      <w:numFmt w:val="bullet"/>
      <w:lvlText w:val=""/>
      <w:lvlJc w:val="left"/>
      <w:pPr>
        <w:ind w:left="2523" w:hanging="360"/>
      </w:pPr>
      <w:rPr>
        <w:rFonts w:ascii="Symbol" w:hAnsi="Symbol" w:hint="default"/>
      </w:rPr>
    </w:lvl>
    <w:lvl w:ilvl="4" w:tplc="8BB8B98C" w:tentative="1">
      <w:start w:val="1"/>
      <w:numFmt w:val="bullet"/>
      <w:lvlText w:val="o"/>
      <w:lvlJc w:val="left"/>
      <w:pPr>
        <w:ind w:left="3243" w:hanging="360"/>
      </w:pPr>
      <w:rPr>
        <w:rFonts w:ascii="Courier New" w:hAnsi="Courier New" w:cs="Courier New" w:hint="default"/>
      </w:rPr>
    </w:lvl>
    <w:lvl w:ilvl="5" w:tplc="C6B815F2" w:tentative="1">
      <w:start w:val="1"/>
      <w:numFmt w:val="bullet"/>
      <w:lvlText w:val=""/>
      <w:lvlJc w:val="left"/>
      <w:pPr>
        <w:ind w:left="3963" w:hanging="360"/>
      </w:pPr>
      <w:rPr>
        <w:rFonts w:ascii="Wingdings" w:hAnsi="Wingdings" w:hint="default"/>
      </w:rPr>
    </w:lvl>
    <w:lvl w:ilvl="6" w:tplc="266EA6A6" w:tentative="1">
      <w:start w:val="1"/>
      <w:numFmt w:val="bullet"/>
      <w:lvlText w:val=""/>
      <w:lvlJc w:val="left"/>
      <w:pPr>
        <w:ind w:left="4683" w:hanging="360"/>
      </w:pPr>
      <w:rPr>
        <w:rFonts w:ascii="Symbol" w:hAnsi="Symbol" w:hint="default"/>
      </w:rPr>
    </w:lvl>
    <w:lvl w:ilvl="7" w:tplc="AC90AA0C" w:tentative="1">
      <w:start w:val="1"/>
      <w:numFmt w:val="bullet"/>
      <w:lvlText w:val="o"/>
      <w:lvlJc w:val="left"/>
      <w:pPr>
        <w:ind w:left="5403" w:hanging="360"/>
      </w:pPr>
      <w:rPr>
        <w:rFonts w:ascii="Courier New" w:hAnsi="Courier New" w:cs="Courier New" w:hint="default"/>
      </w:rPr>
    </w:lvl>
    <w:lvl w:ilvl="8" w:tplc="FA7292E6" w:tentative="1">
      <w:start w:val="1"/>
      <w:numFmt w:val="bullet"/>
      <w:lvlText w:val=""/>
      <w:lvlJc w:val="left"/>
      <w:pPr>
        <w:ind w:left="6123" w:hanging="360"/>
      </w:pPr>
      <w:rPr>
        <w:rFonts w:ascii="Wingdings" w:hAnsi="Wingdings" w:hint="default"/>
      </w:rPr>
    </w:lvl>
  </w:abstractNum>
  <w:abstractNum w:abstractNumId="5" w15:restartNumberingAfterBreak="0">
    <w:nsid w:val="420860A3"/>
    <w:multiLevelType w:val="hybridMultilevel"/>
    <w:tmpl w:val="2DF6A548"/>
    <w:lvl w:ilvl="0" w:tplc="06544176">
      <w:start w:val="1"/>
      <w:numFmt w:val="decimal"/>
      <w:pStyle w:val="Heading2-numbered"/>
      <w:lvlText w:val="%1."/>
      <w:lvlJc w:val="left"/>
      <w:pPr>
        <w:ind w:left="360" w:hanging="360"/>
      </w:pPr>
    </w:lvl>
    <w:lvl w:ilvl="1" w:tplc="95A68B60" w:tentative="1">
      <w:start w:val="1"/>
      <w:numFmt w:val="lowerLetter"/>
      <w:lvlText w:val="%2."/>
      <w:lvlJc w:val="left"/>
      <w:pPr>
        <w:ind w:left="1080" w:hanging="360"/>
      </w:pPr>
    </w:lvl>
    <w:lvl w:ilvl="2" w:tplc="5D86479E" w:tentative="1">
      <w:start w:val="1"/>
      <w:numFmt w:val="lowerRoman"/>
      <w:lvlText w:val="%3."/>
      <w:lvlJc w:val="right"/>
      <w:pPr>
        <w:ind w:left="1800" w:hanging="180"/>
      </w:pPr>
    </w:lvl>
    <w:lvl w:ilvl="3" w:tplc="CC241E24" w:tentative="1">
      <w:start w:val="1"/>
      <w:numFmt w:val="decimal"/>
      <w:lvlText w:val="%4."/>
      <w:lvlJc w:val="left"/>
      <w:pPr>
        <w:ind w:left="2520" w:hanging="360"/>
      </w:pPr>
    </w:lvl>
    <w:lvl w:ilvl="4" w:tplc="9D9862DC" w:tentative="1">
      <w:start w:val="1"/>
      <w:numFmt w:val="lowerLetter"/>
      <w:lvlText w:val="%5."/>
      <w:lvlJc w:val="left"/>
      <w:pPr>
        <w:ind w:left="3240" w:hanging="360"/>
      </w:pPr>
    </w:lvl>
    <w:lvl w:ilvl="5" w:tplc="2E863BA8" w:tentative="1">
      <w:start w:val="1"/>
      <w:numFmt w:val="lowerRoman"/>
      <w:lvlText w:val="%6."/>
      <w:lvlJc w:val="right"/>
      <w:pPr>
        <w:ind w:left="3960" w:hanging="180"/>
      </w:pPr>
    </w:lvl>
    <w:lvl w:ilvl="6" w:tplc="307A3C46" w:tentative="1">
      <w:start w:val="1"/>
      <w:numFmt w:val="decimal"/>
      <w:lvlText w:val="%7."/>
      <w:lvlJc w:val="left"/>
      <w:pPr>
        <w:ind w:left="4680" w:hanging="360"/>
      </w:pPr>
    </w:lvl>
    <w:lvl w:ilvl="7" w:tplc="A5461EEC" w:tentative="1">
      <w:start w:val="1"/>
      <w:numFmt w:val="lowerLetter"/>
      <w:lvlText w:val="%8."/>
      <w:lvlJc w:val="left"/>
      <w:pPr>
        <w:ind w:left="5400" w:hanging="360"/>
      </w:pPr>
    </w:lvl>
    <w:lvl w:ilvl="8" w:tplc="CC64BCC0" w:tentative="1">
      <w:start w:val="1"/>
      <w:numFmt w:val="lowerRoman"/>
      <w:lvlText w:val="%9."/>
      <w:lvlJc w:val="right"/>
      <w:pPr>
        <w:ind w:left="6120" w:hanging="180"/>
      </w:pPr>
    </w:lvl>
  </w:abstractNum>
  <w:abstractNum w:abstractNumId="6" w15:restartNumberingAfterBreak="0">
    <w:nsid w:val="43DB63CD"/>
    <w:multiLevelType w:val="hybridMultilevel"/>
    <w:tmpl w:val="E4006CA0"/>
    <w:lvl w:ilvl="0" w:tplc="879E25A8">
      <w:start w:val="1"/>
      <w:numFmt w:val="bullet"/>
      <w:lvlText w:val=""/>
      <w:lvlJc w:val="left"/>
      <w:pPr>
        <w:ind w:left="720" w:hanging="360"/>
      </w:pPr>
      <w:rPr>
        <w:rFonts w:ascii="Symbol" w:hAnsi="Symbol" w:hint="default"/>
      </w:rPr>
    </w:lvl>
    <w:lvl w:ilvl="1" w:tplc="013A7002" w:tentative="1">
      <w:start w:val="1"/>
      <w:numFmt w:val="bullet"/>
      <w:lvlText w:val="o"/>
      <w:lvlJc w:val="left"/>
      <w:pPr>
        <w:ind w:left="1440" w:hanging="360"/>
      </w:pPr>
      <w:rPr>
        <w:rFonts w:ascii="Courier New" w:hAnsi="Courier New" w:cs="Courier New" w:hint="default"/>
      </w:rPr>
    </w:lvl>
    <w:lvl w:ilvl="2" w:tplc="9712140C" w:tentative="1">
      <w:start w:val="1"/>
      <w:numFmt w:val="bullet"/>
      <w:lvlText w:val=""/>
      <w:lvlJc w:val="left"/>
      <w:pPr>
        <w:ind w:left="2160" w:hanging="360"/>
      </w:pPr>
      <w:rPr>
        <w:rFonts w:ascii="Wingdings" w:hAnsi="Wingdings" w:hint="default"/>
      </w:rPr>
    </w:lvl>
    <w:lvl w:ilvl="3" w:tplc="6B2017E8" w:tentative="1">
      <w:start w:val="1"/>
      <w:numFmt w:val="bullet"/>
      <w:lvlText w:val=""/>
      <w:lvlJc w:val="left"/>
      <w:pPr>
        <w:ind w:left="2880" w:hanging="360"/>
      </w:pPr>
      <w:rPr>
        <w:rFonts w:ascii="Symbol" w:hAnsi="Symbol" w:hint="default"/>
      </w:rPr>
    </w:lvl>
    <w:lvl w:ilvl="4" w:tplc="6A84D12C" w:tentative="1">
      <w:start w:val="1"/>
      <w:numFmt w:val="bullet"/>
      <w:lvlText w:val="o"/>
      <w:lvlJc w:val="left"/>
      <w:pPr>
        <w:ind w:left="3600" w:hanging="360"/>
      </w:pPr>
      <w:rPr>
        <w:rFonts w:ascii="Courier New" w:hAnsi="Courier New" w:cs="Courier New" w:hint="default"/>
      </w:rPr>
    </w:lvl>
    <w:lvl w:ilvl="5" w:tplc="3F16B280" w:tentative="1">
      <w:start w:val="1"/>
      <w:numFmt w:val="bullet"/>
      <w:lvlText w:val=""/>
      <w:lvlJc w:val="left"/>
      <w:pPr>
        <w:ind w:left="4320" w:hanging="360"/>
      </w:pPr>
      <w:rPr>
        <w:rFonts w:ascii="Wingdings" w:hAnsi="Wingdings" w:hint="default"/>
      </w:rPr>
    </w:lvl>
    <w:lvl w:ilvl="6" w:tplc="57D62A18" w:tentative="1">
      <w:start w:val="1"/>
      <w:numFmt w:val="bullet"/>
      <w:lvlText w:val=""/>
      <w:lvlJc w:val="left"/>
      <w:pPr>
        <w:ind w:left="5040" w:hanging="360"/>
      </w:pPr>
      <w:rPr>
        <w:rFonts w:ascii="Symbol" w:hAnsi="Symbol" w:hint="default"/>
      </w:rPr>
    </w:lvl>
    <w:lvl w:ilvl="7" w:tplc="4CA60416" w:tentative="1">
      <w:start w:val="1"/>
      <w:numFmt w:val="bullet"/>
      <w:lvlText w:val="o"/>
      <w:lvlJc w:val="left"/>
      <w:pPr>
        <w:ind w:left="5760" w:hanging="360"/>
      </w:pPr>
      <w:rPr>
        <w:rFonts w:ascii="Courier New" w:hAnsi="Courier New" w:cs="Courier New" w:hint="default"/>
      </w:rPr>
    </w:lvl>
    <w:lvl w:ilvl="8" w:tplc="FE025148" w:tentative="1">
      <w:start w:val="1"/>
      <w:numFmt w:val="bullet"/>
      <w:lvlText w:val=""/>
      <w:lvlJc w:val="left"/>
      <w:pPr>
        <w:ind w:left="6480" w:hanging="360"/>
      </w:pPr>
      <w:rPr>
        <w:rFonts w:ascii="Wingdings" w:hAnsi="Wingdings" w:hint="default"/>
      </w:rPr>
    </w:lvl>
  </w:abstractNum>
  <w:abstractNum w:abstractNumId="7" w15:restartNumberingAfterBreak="0">
    <w:nsid w:val="4DB55C26"/>
    <w:multiLevelType w:val="hybridMultilevel"/>
    <w:tmpl w:val="2850D31C"/>
    <w:lvl w:ilvl="0" w:tplc="09C4F44E">
      <w:start w:val="1"/>
      <w:numFmt w:val="bullet"/>
      <w:lvlText w:val=""/>
      <w:lvlJc w:val="left"/>
      <w:pPr>
        <w:ind w:left="720" w:hanging="360"/>
      </w:pPr>
      <w:rPr>
        <w:rFonts w:ascii="Symbol" w:hAnsi="Symbol" w:hint="default"/>
        <w:color w:val="auto"/>
      </w:rPr>
    </w:lvl>
    <w:lvl w:ilvl="1" w:tplc="01DA732A" w:tentative="1">
      <w:start w:val="1"/>
      <w:numFmt w:val="bullet"/>
      <w:lvlText w:val="o"/>
      <w:lvlJc w:val="left"/>
      <w:pPr>
        <w:ind w:left="1440" w:hanging="360"/>
      </w:pPr>
      <w:rPr>
        <w:rFonts w:ascii="Courier New" w:hAnsi="Courier New" w:cs="Courier New" w:hint="default"/>
      </w:rPr>
    </w:lvl>
    <w:lvl w:ilvl="2" w:tplc="75444AF2" w:tentative="1">
      <w:start w:val="1"/>
      <w:numFmt w:val="bullet"/>
      <w:lvlText w:val=""/>
      <w:lvlJc w:val="left"/>
      <w:pPr>
        <w:ind w:left="2160" w:hanging="360"/>
      </w:pPr>
      <w:rPr>
        <w:rFonts w:ascii="Wingdings" w:hAnsi="Wingdings" w:hint="default"/>
      </w:rPr>
    </w:lvl>
    <w:lvl w:ilvl="3" w:tplc="84C61E2C" w:tentative="1">
      <w:start w:val="1"/>
      <w:numFmt w:val="bullet"/>
      <w:lvlText w:val=""/>
      <w:lvlJc w:val="left"/>
      <w:pPr>
        <w:ind w:left="2880" w:hanging="360"/>
      </w:pPr>
      <w:rPr>
        <w:rFonts w:ascii="Symbol" w:hAnsi="Symbol" w:hint="default"/>
      </w:rPr>
    </w:lvl>
    <w:lvl w:ilvl="4" w:tplc="EB802F0A" w:tentative="1">
      <w:start w:val="1"/>
      <w:numFmt w:val="bullet"/>
      <w:lvlText w:val="o"/>
      <w:lvlJc w:val="left"/>
      <w:pPr>
        <w:ind w:left="3600" w:hanging="360"/>
      </w:pPr>
      <w:rPr>
        <w:rFonts w:ascii="Courier New" w:hAnsi="Courier New" w:cs="Courier New" w:hint="default"/>
      </w:rPr>
    </w:lvl>
    <w:lvl w:ilvl="5" w:tplc="FF4A462E" w:tentative="1">
      <w:start w:val="1"/>
      <w:numFmt w:val="bullet"/>
      <w:lvlText w:val=""/>
      <w:lvlJc w:val="left"/>
      <w:pPr>
        <w:ind w:left="4320" w:hanging="360"/>
      </w:pPr>
      <w:rPr>
        <w:rFonts w:ascii="Wingdings" w:hAnsi="Wingdings" w:hint="default"/>
      </w:rPr>
    </w:lvl>
    <w:lvl w:ilvl="6" w:tplc="B2E44EDC" w:tentative="1">
      <w:start w:val="1"/>
      <w:numFmt w:val="bullet"/>
      <w:lvlText w:val=""/>
      <w:lvlJc w:val="left"/>
      <w:pPr>
        <w:ind w:left="5040" w:hanging="360"/>
      </w:pPr>
      <w:rPr>
        <w:rFonts w:ascii="Symbol" w:hAnsi="Symbol" w:hint="default"/>
      </w:rPr>
    </w:lvl>
    <w:lvl w:ilvl="7" w:tplc="C7104302" w:tentative="1">
      <w:start w:val="1"/>
      <w:numFmt w:val="bullet"/>
      <w:lvlText w:val="o"/>
      <w:lvlJc w:val="left"/>
      <w:pPr>
        <w:ind w:left="5760" w:hanging="360"/>
      </w:pPr>
      <w:rPr>
        <w:rFonts w:ascii="Courier New" w:hAnsi="Courier New" w:cs="Courier New" w:hint="default"/>
      </w:rPr>
    </w:lvl>
    <w:lvl w:ilvl="8" w:tplc="02220C2A" w:tentative="1">
      <w:start w:val="1"/>
      <w:numFmt w:val="bullet"/>
      <w:lvlText w:val=""/>
      <w:lvlJc w:val="left"/>
      <w:pPr>
        <w:ind w:left="6480" w:hanging="360"/>
      </w:pPr>
      <w:rPr>
        <w:rFonts w:ascii="Wingdings" w:hAnsi="Wingdings" w:hint="default"/>
      </w:rPr>
    </w:lvl>
  </w:abstractNum>
  <w:abstractNum w:abstractNumId="8" w15:restartNumberingAfterBreak="0">
    <w:nsid w:val="63F759CD"/>
    <w:multiLevelType w:val="hybridMultilevel"/>
    <w:tmpl w:val="6FF22088"/>
    <w:lvl w:ilvl="0" w:tplc="13EA6FE0">
      <w:start w:val="1"/>
      <w:numFmt w:val="decimal"/>
      <w:pStyle w:val="Heading4"/>
      <w:lvlText w:val="%1."/>
      <w:lvlJc w:val="left"/>
      <w:pPr>
        <w:ind w:left="360" w:hanging="360"/>
      </w:pPr>
    </w:lvl>
    <w:lvl w:ilvl="1" w:tplc="46046072" w:tentative="1">
      <w:start w:val="1"/>
      <w:numFmt w:val="lowerLetter"/>
      <w:lvlText w:val="%2."/>
      <w:lvlJc w:val="left"/>
      <w:pPr>
        <w:ind w:left="1080" w:hanging="360"/>
      </w:pPr>
    </w:lvl>
    <w:lvl w:ilvl="2" w:tplc="63984558" w:tentative="1">
      <w:start w:val="1"/>
      <w:numFmt w:val="lowerRoman"/>
      <w:lvlText w:val="%3."/>
      <w:lvlJc w:val="right"/>
      <w:pPr>
        <w:ind w:left="1800" w:hanging="180"/>
      </w:pPr>
    </w:lvl>
    <w:lvl w:ilvl="3" w:tplc="D4B8167E" w:tentative="1">
      <w:start w:val="1"/>
      <w:numFmt w:val="decimal"/>
      <w:lvlText w:val="%4."/>
      <w:lvlJc w:val="left"/>
      <w:pPr>
        <w:ind w:left="2520" w:hanging="360"/>
      </w:pPr>
    </w:lvl>
    <w:lvl w:ilvl="4" w:tplc="555AED2A" w:tentative="1">
      <w:start w:val="1"/>
      <w:numFmt w:val="lowerLetter"/>
      <w:lvlText w:val="%5."/>
      <w:lvlJc w:val="left"/>
      <w:pPr>
        <w:ind w:left="3240" w:hanging="360"/>
      </w:pPr>
    </w:lvl>
    <w:lvl w:ilvl="5" w:tplc="E842D150" w:tentative="1">
      <w:start w:val="1"/>
      <w:numFmt w:val="lowerRoman"/>
      <w:lvlText w:val="%6."/>
      <w:lvlJc w:val="right"/>
      <w:pPr>
        <w:ind w:left="3960" w:hanging="180"/>
      </w:pPr>
    </w:lvl>
    <w:lvl w:ilvl="6" w:tplc="737E2CEA" w:tentative="1">
      <w:start w:val="1"/>
      <w:numFmt w:val="decimal"/>
      <w:lvlText w:val="%7."/>
      <w:lvlJc w:val="left"/>
      <w:pPr>
        <w:ind w:left="4680" w:hanging="360"/>
      </w:pPr>
    </w:lvl>
    <w:lvl w:ilvl="7" w:tplc="877AE7FA" w:tentative="1">
      <w:start w:val="1"/>
      <w:numFmt w:val="lowerLetter"/>
      <w:lvlText w:val="%8."/>
      <w:lvlJc w:val="left"/>
      <w:pPr>
        <w:ind w:left="5400" w:hanging="360"/>
      </w:pPr>
    </w:lvl>
    <w:lvl w:ilvl="8" w:tplc="0EE47DDA" w:tentative="1">
      <w:start w:val="1"/>
      <w:numFmt w:val="lowerRoman"/>
      <w:lvlText w:val="%9."/>
      <w:lvlJc w:val="right"/>
      <w:pPr>
        <w:ind w:left="6120" w:hanging="180"/>
      </w:pPr>
    </w:lvl>
  </w:abstractNum>
  <w:abstractNum w:abstractNumId="9" w15:restartNumberingAfterBreak="0">
    <w:nsid w:val="712C6B77"/>
    <w:multiLevelType w:val="hybridMultilevel"/>
    <w:tmpl w:val="808278F0"/>
    <w:lvl w:ilvl="0" w:tplc="F4540586">
      <w:start w:val="1"/>
      <w:numFmt w:val="decimal"/>
      <w:pStyle w:val="Heading3-numbered"/>
      <w:lvlText w:val="%1."/>
      <w:lvlJc w:val="left"/>
      <w:pPr>
        <w:ind w:left="360" w:hanging="360"/>
      </w:pPr>
      <w:rPr>
        <w:b/>
        <w:i w:val="0"/>
        <w:color w:val="auto"/>
        <w:sz w:val="28"/>
        <w:szCs w:val="28"/>
      </w:rPr>
    </w:lvl>
    <w:lvl w:ilvl="1" w:tplc="56E2908E" w:tentative="1">
      <w:start w:val="1"/>
      <w:numFmt w:val="lowerLetter"/>
      <w:lvlText w:val="%2."/>
      <w:lvlJc w:val="left"/>
      <w:pPr>
        <w:ind w:left="1080" w:hanging="360"/>
      </w:pPr>
    </w:lvl>
    <w:lvl w:ilvl="2" w:tplc="4506780A" w:tentative="1">
      <w:start w:val="1"/>
      <w:numFmt w:val="lowerRoman"/>
      <w:lvlText w:val="%3."/>
      <w:lvlJc w:val="right"/>
      <w:pPr>
        <w:ind w:left="1800" w:hanging="180"/>
      </w:pPr>
    </w:lvl>
    <w:lvl w:ilvl="3" w:tplc="ABE88840" w:tentative="1">
      <w:start w:val="1"/>
      <w:numFmt w:val="decimal"/>
      <w:lvlText w:val="%4."/>
      <w:lvlJc w:val="left"/>
      <w:pPr>
        <w:ind w:left="2520" w:hanging="360"/>
      </w:pPr>
    </w:lvl>
    <w:lvl w:ilvl="4" w:tplc="6318FE26" w:tentative="1">
      <w:start w:val="1"/>
      <w:numFmt w:val="lowerLetter"/>
      <w:lvlText w:val="%5."/>
      <w:lvlJc w:val="left"/>
      <w:pPr>
        <w:ind w:left="3240" w:hanging="360"/>
      </w:pPr>
    </w:lvl>
    <w:lvl w:ilvl="5" w:tplc="7C02D624" w:tentative="1">
      <w:start w:val="1"/>
      <w:numFmt w:val="lowerRoman"/>
      <w:lvlText w:val="%6."/>
      <w:lvlJc w:val="right"/>
      <w:pPr>
        <w:ind w:left="3960" w:hanging="180"/>
      </w:pPr>
    </w:lvl>
    <w:lvl w:ilvl="6" w:tplc="C16E391C" w:tentative="1">
      <w:start w:val="1"/>
      <w:numFmt w:val="decimal"/>
      <w:lvlText w:val="%7."/>
      <w:lvlJc w:val="left"/>
      <w:pPr>
        <w:ind w:left="4680" w:hanging="360"/>
      </w:pPr>
    </w:lvl>
    <w:lvl w:ilvl="7" w:tplc="7720AA82" w:tentative="1">
      <w:start w:val="1"/>
      <w:numFmt w:val="lowerLetter"/>
      <w:lvlText w:val="%8."/>
      <w:lvlJc w:val="left"/>
      <w:pPr>
        <w:ind w:left="5400" w:hanging="360"/>
      </w:pPr>
    </w:lvl>
    <w:lvl w:ilvl="8" w:tplc="EDC41B6C"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8"/>
  </w:num>
  <w:num w:numId="5">
    <w:abstractNumId w:val="1"/>
  </w:num>
  <w:num w:numId="6">
    <w:abstractNumId w:val="2"/>
  </w:num>
  <w:num w:numId="7">
    <w:abstractNumId w:val="0"/>
  </w:num>
  <w:num w:numId="8">
    <w:abstractNumId w:val="7"/>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6E"/>
    <w:rsid w:val="0020536E"/>
    <w:rsid w:val="004E53A0"/>
    <w:rsid w:val="00743E0E"/>
    <w:rsid w:val="00F43E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03F4FE3D-0328-4792-8759-43DBB42D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character" w:styleId="CommentReference">
    <w:name w:val="annotation reference"/>
    <w:basedOn w:val="DefaultParagraphFont"/>
    <w:uiPriority w:val="99"/>
    <w:rsid w:val="00E34D72"/>
    <w:rPr>
      <w:sz w:val="16"/>
      <w:szCs w:val="16"/>
    </w:rPr>
  </w:style>
  <w:style w:type="paragraph" w:styleId="CommentSubject">
    <w:name w:val="annotation subject"/>
    <w:basedOn w:val="CommentText"/>
    <w:next w:val="CommentText"/>
    <w:link w:val="CommentSubjectChar"/>
    <w:semiHidden/>
    <w:unhideWhenUsed/>
    <w:rsid w:val="00E34D7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E34D72"/>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orpdata02.ad.lancscc.net\acs\RestrictedPermissions\Health%20and%20Care%20Systems%20Development\Care%20Act\Heather\Care%20Act\PPG\Hospital%20Discharge\Old%20versions\www.lancashiresafeguarding.org.uk\lancashire-safeguarding-adults.aspx" TargetMode="External"/><Relationship Id="rId18" Type="http://schemas.openxmlformats.org/officeDocument/2006/relationships/hyperlink" Target="http://intranet.ad.lancscc.net/media/4830/ppg-assessment-of-need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15993/Care-Act-Guidance.pdf" TargetMode="External"/><Relationship Id="rId7" Type="http://schemas.openxmlformats.org/officeDocument/2006/relationships/endnotes" Target="endnotes.xml"/><Relationship Id="rId12" Type="http://schemas.openxmlformats.org/officeDocument/2006/relationships/hyperlink" Target="file:///\\corpdata02.ad.lancscc.net\acs\RestrictedPermissions\Health%20and%20Care%20Systems%20Development\Care%20Act\Heather\Care%20Act\PPG\Hospital%20Discharge\Old%20versions\www.scie.org.uk\mca" TargetMode="External"/><Relationship Id="rId17" Type="http://schemas.openxmlformats.org/officeDocument/2006/relationships/hyperlink" Target="http://intranet.ad.lancscc.net/media/4862/ppg-eligibility-criteri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ranet.ad.lancscc.net/media/4619/ppg-assessment-of-needs.pdf" TargetMode="External"/><Relationship Id="rId20"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rpdata02.ad.lancscc.net\acs\RestrictedPermissions\Health%20and%20Care%20Systems%20Development\Care%20Act\Heather\Care%20Act\PPG\Hospital%20Discharge\Old%20versions\www.gov.uk\government\collections\mental-capacity-act-making-decis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national-framework-for-nhs-continuing-healthcare-and-nhs-funded-nursing-care" TargetMode="External"/><Relationship Id="rId23" Type="http://schemas.openxmlformats.org/officeDocument/2006/relationships/hyperlink" Target="http://lccintranet2/corporate/web/?siteid=5580&amp;pageid=30516" TargetMode="External"/><Relationship Id="rId10" Type="http://schemas.openxmlformats.org/officeDocument/2006/relationships/hyperlink" Target="https://www.gov.uk/government/publications/care-act-statutory-guidance/care-and-support-statutory-guidance" TargetMode="External"/><Relationship Id="rId19" Type="http://schemas.openxmlformats.org/officeDocument/2006/relationships/hyperlink" Target="http://intranet.ad.lancscc.net/media/4619/ppg-assessment-of-need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ranet.ad.lancscc.net/site/ppg/" TargetMode="External"/><Relationship Id="rId22" Type="http://schemas.openxmlformats.org/officeDocument/2006/relationships/hyperlink" Target="https://www.gov.uk/government/publications/national-framework-for-nhs-continuing-healthcare-and-nhs-funded-nursing-car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4380-3F66-4152-9AFA-C832E32E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TotalTime>
  <Pages>9</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5</cp:revision>
  <cp:lastPrinted>2019-05-13T08:44:00Z</cp:lastPrinted>
  <dcterms:created xsi:type="dcterms:W3CDTF">2019-05-23T08:35:00Z</dcterms:created>
  <dcterms:modified xsi:type="dcterms:W3CDTF">2019-05-30T11:52:00Z</dcterms:modified>
</cp:coreProperties>
</file>